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654D7" w:rsidRDefault="00BD0615" w:rsidP="006C3DF7">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w:t>
      </w:r>
      <w:r>
        <w:rPr>
          <w:rFonts w:ascii="Arial" w:hAnsi="Arial" w:cs="Arial"/>
          <w:b/>
          <w:bCs/>
          <w:sz w:val="22"/>
          <w:szCs w:val="22"/>
        </w:rPr>
        <w:tab/>
      </w:r>
      <w:r>
        <w:rPr>
          <w:rFonts w:ascii="Arial" w:hAnsi="Arial" w:cs="Arial"/>
          <w:b/>
          <w:bCs/>
          <w:sz w:val="22"/>
          <w:szCs w:val="22"/>
        </w:rPr>
        <w:tab/>
        <w:t>R1-190</w:t>
      </w:r>
      <w:r>
        <w:rPr>
          <w:rFonts w:ascii="Arial" w:hAnsi="Arial" w:cs="Arial" w:hint="eastAsia"/>
          <w:b/>
          <w:bCs/>
          <w:sz w:val="22"/>
          <w:szCs w:val="22"/>
        </w:rPr>
        <w:t>8895</w:t>
      </w:r>
    </w:p>
    <w:p w:rsidR="00D654D7" w:rsidRDefault="00BD0615" w:rsidP="006C3DF7">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Prague, CZ, August 26th – 30th, 2019</w:t>
      </w:r>
    </w:p>
    <w:p w:rsidR="00D654D7" w:rsidRDefault="00BD0615" w:rsidP="006C3DF7">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synchronization mechanism in NR V2X</w:t>
      </w:r>
    </w:p>
    <w:p w:rsidR="00D654D7" w:rsidRDefault="00BD0615" w:rsidP="006C3DF7">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sidR="0075459B">
        <w:rPr>
          <w:rFonts w:ascii="Arial" w:hAnsi="Arial"/>
          <w:b/>
          <w:sz w:val="22"/>
          <w:szCs w:val="22"/>
        </w:rPr>
        <w:t>, Sanechips</w:t>
      </w:r>
    </w:p>
    <w:p w:rsidR="00D654D7" w:rsidRDefault="00BD0615" w:rsidP="006C3DF7">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7.2.4.3</w:t>
      </w:r>
    </w:p>
    <w:p w:rsidR="00D654D7" w:rsidRDefault="00BD0615" w:rsidP="006C3DF7">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654D7" w:rsidRDefault="00BD0615" w:rsidP="006C3DF7">
      <w:pPr>
        <w:pStyle w:val="Heading1"/>
        <w:spacing w:before="120" w:after="120"/>
        <w:ind w:left="0"/>
        <w:rPr>
          <w:rFonts w:eastAsia="宋体"/>
        </w:rPr>
      </w:pPr>
      <w:r>
        <w:rPr>
          <w:rFonts w:eastAsia="宋体" w:hint="eastAsia"/>
        </w:rPr>
        <w:t>Introduction</w:t>
      </w:r>
    </w:p>
    <w:p w:rsidR="00D654D7" w:rsidRDefault="00BD0615" w:rsidP="006C3DF7">
      <w:pPr>
        <w:spacing w:before="120" w:after="120"/>
        <w:rPr>
          <w:sz w:val="20"/>
        </w:rPr>
      </w:pPr>
      <w:r>
        <w:rPr>
          <w:rFonts w:hint="eastAsia"/>
          <w:sz w:val="20"/>
        </w:rPr>
        <w:t>At RAN1 #97 meeting, the following agreements and working assumption were made [1]:</w:t>
      </w:r>
    </w:p>
    <w:p w:rsidR="00D654D7" w:rsidRDefault="00BD0615" w:rsidP="006C3DF7">
      <w:pPr>
        <w:spacing w:before="120" w:after="120"/>
        <w:rPr>
          <w:sz w:val="20"/>
          <w:highlight w:val="darkYellow"/>
        </w:rPr>
      </w:pPr>
      <w:r>
        <w:rPr>
          <w:sz w:val="20"/>
          <w:highlight w:val="darkYellow"/>
        </w:rPr>
        <w:t>Working assumption:</w:t>
      </w:r>
    </w:p>
    <w:p w:rsidR="00D654D7" w:rsidRDefault="00BD0615" w:rsidP="006C3DF7">
      <w:pPr>
        <w:pStyle w:val="BodyText"/>
        <w:numPr>
          <w:ilvl w:val="0"/>
          <w:numId w:val="6"/>
        </w:numPr>
        <w:spacing w:before="120"/>
        <w:rPr>
          <w:rFonts w:eastAsia="DengXian"/>
          <w:sz w:val="20"/>
        </w:rPr>
      </w:pPr>
      <w:r>
        <w:rPr>
          <w:rFonts w:eastAsia="DengXian" w:hint="eastAsia"/>
          <w:sz w:val="20"/>
        </w:rPr>
        <w:t>F</w:t>
      </w:r>
      <w:r>
        <w:rPr>
          <w:rFonts w:eastAsia="DengXian"/>
          <w:sz w:val="20"/>
        </w:rPr>
        <w:t>or the NR SLSS</w:t>
      </w:r>
      <w:r>
        <w:rPr>
          <w:rFonts w:eastAsia="DengXian" w:hint="eastAsia"/>
          <w:sz w:val="20"/>
        </w:rPr>
        <w:t xml:space="preserve">, </w:t>
      </w:r>
    </w:p>
    <w:p w:rsidR="00D654D7" w:rsidRDefault="00BD0615" w:rsidP="006C3DF7">
      <w:pPr>
        <w:pStyle w:val="BodyText"/>
        <w:numPr>
          <w:ilvl w:val="1"/>
          <w:numId w:val="6"/>
        </w:numPr>
        <w:spacing w:before="120"/>
        <w:rPr>
          <w:rFonts w:eastAsia="DengXian"/>
          <w:sz w:val="20"/>
        </w:rPr>
      </w:pPr>
      <w:r>
        <w:rPr>
          <w:rFonts w:eastAsia="DengXian"/>
          <w:sz w:val="20"/>
        </w:rPr>
        <w:t>S</w:t>
      </w:r>
      <w:r>
        <w:rPr>
          <w:rFonts w:eastAsia="DengXian" w:hint="eastAsia"/>
          <w:sz w:val="20"/>
        </w:rPr>
        <w:t>ame sequence is used for both symbols of S-PSS</w:t>
      </w:r>
    </w:p>
    <w:p w:rsidR="00D654D7" w:rsidRDefault="00BD0615" w:rsidP="006C3DF7">
      <w:pPr>
        <w:pStyle w:val="BodyText"/>
        <w:numPr>
          <w:ilvl w:val="1"/>
          <w:numId w:val="6"/>
        </w:numPr>
        <w:spacing w:before="120"/>
        <w:rPr>
          <w:rFonts w:eastAsia="DengXian"/>
          <w:sz w:val="20"/>
        </w:rPr>
      </w:pPr>
      <w:r>
        <w:rPr>
          <w:rFonts w:eastAsia="DengXian"/>
          <w:sz w:val="20"/>
        </w:rPr>
        <w:t>S</w:t>
      </w:r>
      <w:r>
        <w:rPr>
          <w:rFonts w:eastAsia="DengXian" w:hint="eastAsia"/>
          <w:sz w:val="20"/>
        </w:rPr>
        <w:t>ame sequence is used for both symbols of S-SSS</w:t>
      </w:r>
    </w:p>
    <w:p w:rsidR="00D654D7" w:rsidRDefault="00BD0615" w:rsidP="006C3DF7">
      <w:pPr>
        <w:spacing w:before="120" w:after="120"/>
        <w:rPr>
          <w:sz w:val="20"/>
        </w:rPr>
      </w:pPr>
      <w:r>
        <w:rPr>
          <w:sz w:val="20"/>
          <w:highlight w:val="green"/>
        </w:rPr>
        <w:t>Agreements</w:t>
      </w:r>
      <w:r>
        <w:rPr>
          <w:sz w:val="20"/>
        </w:rPr>
        <w:t>:</w:t>
      </w:r>
    </w:p>
    <w:p w:rsidR="00D654D7" w:rsidRDefault="00BD0615" w:rsidP="006C3DF7">
      <w:pPr>
        <w:pStyle w:val="BodyText"/>
        <w:spacing w:before="120"/>
        <w:rPr>
          <w:rFonts w:eastAsia="DengXian"/>
          <w:sz w:val="20"/>
        </w:rPr>
      </w:pPr>
      <w:r>
        <w:rPr>
          <w:rFonts w:eastAsia="DengXian" w:hint="eastAsia"/>
          <w:sz w:val="20"/>
        </w:rPr>
        <w:t>The impact on detection probability performance of having or not having a transient period between S-PSS and S-SSS symbols is used to evaluate the following:</w:t>
      </w:r>
    </w:p>
    <w:p w:rsidR="00D654D7" w:rsidRDefault="00BD0615" w:rsidP="006C3DF7">
      <w:pPr>
        <w:pStyle w:val="BodyText"/>
        <w:numPr>
          <w:ilvl w:val="0"/>
          <w:numId w:val="7"/>
        </w:numPr>
        <w:spacing w:before="120"/>
        <w:rPr>
          <w:rFonts w:eastAsia="DengXian"/>
          <w:sz w:val="20"/>
        </w:rPr>
      </w:pPr>
      <w:r>
        <w:rPr>
          <w:rFonts w:eastAsia="DengXian" w:hint="eastAsia"/>
          <w:sz w:val="20"/>
        </w:rPr>
        <w:t>Alt 1: S-PSS symbols and S-SSS symbols are adjacent.</w:t>
      </w:r>
    </w:p>
    <w:p w:rsidR="00D654D7" w:rsidRDefault="00BD0615" w:rsidP="006C3DF7">
      <w:pPr>
        <w:pStyle w:val="BodyText"/>
        <w:numPr>
          <w:ilvl w:val="0"/>
          <w:numId w:val="7"/>
        </w:numPr>
        <w:spacing w:before="120"/>
        <w:rPr>
          <w:rFonts w:eastAsia="DengXian"/>
          <w:sz w:val="20"/>
        </w:rPr>
      </w:pPr>
      <w:r>
        <w:rPr>
          <w:rFonts w:eastAsia="DengXian" w:hint="eastAsia"/>
          <w:sz w:val="20"/>
        </w:rPr>
        <w:t>Alt 2: S-PSS symbols and S-SSS symbols are not adjacent.</w:t>
      </w:r>
    </w:p>
    <w:p w:rsidR="00D654D7" w:rsidRDefault="00BD0615" w:rsidP="006C3DF7">
      <w:pPr>
        <w:pStyle w:val="BodyText"/>
        <w:spacing w:before="120"/>
        <w:rPr>
          <w:rFonts w:eastAsia="DengXian"/>
          <w:sz w:val="20"/>
        </w:rPr>
      </w:pPr>
      <w:r>
        <w:rPr>
          <w:rFonts w:eastAsia="DengXian" w:hint="eastAsia"/>
          <w:sz w:val="20"/>
        </w:rPr>
        <w:t>FFS</w:t>
      </w:r>
      <w:r>
        <w:rPr>
          <w:rFonts w:eastAsia="DengXian"/>
          <w:sz w:val="20"/>
        </w:rPr>
        <w:t xml:space="preserve"> (aim to conclude this week – see below)</w:t>
      </w:r>
    </w:p>
    <w:p w:rsidR="00D654D7" w:rsidRDefault="00BD0615" w:rsidP="006C3DF7">
      <w:pPr>
        <w:pStyle w:val="BodyText"/>
        <w:numPr>
          <w:ilvl w:val="0"/>
          <w:numId w:val="8"/>
        </w:numPr>
        <w:spacing w:before="120"/>
        <w:rPr>
          <w:rFonts w:eastAsia="DengXian"/>
          <w:sz w:val="20"/>
        </w:rPr>
      </w:pPr>
      <w:r>
        <w:rPr>
          <w:rFonts w:eastAsia="DengXian"/>
          <w:sz w:val="20"/>
        </w:rPr>
        <w:t>T</w:t>
      </w:r>
      <w:r>
        <w:rPr>
          <w:rFonts w:eastAsia="DengXian" w:hint="eastAsia"/>
          <w:sz w:val="20"/>
        </w:rPr>
        <w:t>he power difference between S-PSS and S-SSS symbols.</w:t>
      </w:r>
    </w:p>
    <w:p w:rsidR="00D654D7" w:rsidRDefault="00BD0615" w:rsidP="006C3DF7">
      <w:pPr>
        <w:pStyle w:val="BodyText"/>
        <w:numPr>
          <w:ilvl w:val="0"/>
          <w:numId w:val="8"/>
        </w:numPr>
        <w:spacing w:before="120"/>
        <w:rPr>
          <w:rFonts w:eastAsia="DengXian"/>
          <w:sz w:val="20"/>
        </w:rPr>
      </w:pPr>
      <w:r>
        <w:rPr>
          <w:rFonts w:eastAsia="DengXian" w:hint="eastAsia"/>
          <w:sz w:val="20"/>
        </w:rPr>
        <w:t>The transient duration.</w:t>
      </w:r>
    </w:p>
    <w:p w:rsidR="00D654D7" w:rsidRDefault="00BD0615" w:rsidP="006C3DF7">
      <w:pPr>
        <w:spacing w:before="120" w:after="120"/>
        <w:rPr>
          <w:sz w:val="20"/>
        </w:rPr>
      </w:pPr>
      <w:r>
        <w:rPr>
          <w:sz w:val="20"/>
          <w:highlight w:val="green"/>
        </w:rPr>
        <w:t>Agreements</w:t>
      </w:r>
      <w:r>
        <w:rPr>
          <w:sz w:val="20"/>
        </w:rPr>
        <w:t>:</w:t>
      </w:r>
    </w:p>
    <w:p w:rsidR="00D654D7" w:rsidRDefault="00BD0615" w:rsidP="006C3DF7">
      <w:pPr>
        <w:pStyle w:val="BodyText"/>
        <w:spacing w:before="120"/>
        <w:rPr>
          <w:rFonts w:eastAsia="DengXian"/>
          <w:sz w:val="20"/>
        </w:rPr>
      </w:pPr>
      <w:r>
        <w:rPr>
          <w:rFonts w:eastAsia="DengXian"/>
          <w:sz w:val="20"/>
        </w:rPr>
        <w:t>The following parameters are assumed for evaluation:</w:t>
      </w:r>
    </w:p>
    <w:p w:rsidR="00D654D7" w:rsidRDefault="00BD0615" w:rsidP="006C3DF7">
      <w:pPr>
        <w:pStyle w:val="ListParagraph"/>
        <w:numPr>
          <w:ilvl w:val="0"/>
          <w:numId w:val="9"/>
        </w:numPr>
        <w:spacing w:after="120"/>
        <w:rPr>
          <w:sz w:val="20"/>
          <w:szCs w:val="20"/>
        </w:rPr>
      </w:pPr>
      <w:r>
        <w:rPr>
          <w:sz w:val="20"/>
          <w:szCs w:val="20"/>
        </w:rPr>
        <w:t>Power Difference for S-PSS and S-SSS</w:t>
      </w:r>
      <w:r>
        <w:rPr>
          <w:rFonts w:hint="eastAsia"/>
          <w:sz w:val="20"/>
          <w:szCs w:val="20"/>
        </w:rPr>
        <w:t xml:space="preserve"> symbols</w:t>
      </w:r>
      <w:r>
        <w:rPr>
          <w:sz w:val="20"/>
          <w:szCs w:val="20"/>
        </w:rPr>
        <w:t>:</w:t>
      </w:r>
    </w:p>
    <w:p w:rsidR="00D654D7" w:rsidRDefault="00BD0615" w:rsidP="006C3DF7">
      <w:pPr>
        <w:pStyle w:val="ListParagraph"/>
        <w:numPr>
          <w:ilvl w:val="1"/>
          <w:numId w:val="9"/>
        </w:numPr>
        <w:spacing w:after="120"/>
        <w:rPr>
          <w:sz w:val="20"/>
          <w:szCs w:val="20"/>
        </w:rPr>
      </w:pPr>
      <w:r>
        <w:rPr>
          <w:sz w:val="20"/>
          <w:szCs w:val="20"/>
        </w:rPr>
        <w:t>Opt.1) MPR values: S-PSS = 0 dB, S-SSS = 3 dB;</w:t>
      </w:r>
      <w:r>
        <w:rPr>
          <w:rFonts w:hint="eastAsia"/>
          <w:sz w:val="20"/>
          <w:szCs w:val="20"/>
        </w:rPr>
        <w:t xml:space="preserve"> </w:t>
      </w:r>
    </w:p>
    <w:p w:rsidR="00D654D7" w:rsidRDefault="00BD0615" w:rsidP="006C3DF7">
      <w:pPr>
        <w:pStyle w:val="ListParagraph"/>
        <w:numPr>
          <w:ilvl w:val="1"/>
          <w:numId w:val="9"/>
        </w:numPr>
        <w:spacing w:after="120"/>
        <w:rPr>
          <w:sz w:val="20"/>
          <w:szCs w:val="20"/>
        </w:rPr>
      </w:pPr>
      <w:r>
        <w:rPr>
          <w:sz w:val="20"/>
          <w:szCs w:val="20"/>
        </w:rPr>
        <w:t>Opt.2) MPR values: S-PSS = 3 dB, S-SSS = 3 dB</w:t>
      </w:r>
      <w:r>
        <w:rPr>
          <w:rFonts w:hint="eastAsia"/>
          <w:sz w:val="20"/>
          <w:szCs w:val="20"/>
        </w:rPr>
        <w:t xml:space="preserve"> </w:t>
      </w:r>
    </w:p>
    <w:p w:rsidR="00D654D7" w:rsidRDefault="00BD0615" w:rsidP="006C3DF7">
      <w:pPr>
        <w:pStyle w:val="ListParagraph"/>
        <w:numPr>
          <w:ilvl w:val="1"/>
          <w:numId w:val="9"/>
        </w:numPr>
        <w:spacing w:after="120"/>
        <w:rPr>
          <w:sz w:val="20"/>
          <w:szCs w:val="20"/>
        </w:rPr>
      </w:pPr>
      <w:r>
        <w:rPr>
          <w:sz w:val="20"/>
          <w:szCs w:val="20"/>
        </w:rPr>
        <w:t>Opt.3) companies to report the assumed MPR values</w:t>
      </w:r>
    </w:p>
    <w:p w:rsidR="00D654D7" w:rsidRDefault="00BD0615" w:rsidP="006C3DF7">
      <w:pPr>
        <w:pStyle w:val="BodyText"/>
        <w:numPr>
          <w:ilvl w:val="0"/>
          <w:numId w:val="9"/>
        </w:numPr>
        <w:spacing w:before="120"/>
        <w:rPr>
          <w:rFonts w:eastAsia="DengXian"/>
          <w:sz w:val="20"/>
        </w:rPr>
      </w:pPr>
      <w:r>
        <w:rPr>
          <w:rFonts w:eastAsia="DengXian"/>
          <w:sz w:val="20"/>
        </w:rPr>
        <w:t>Transient period</w:t>
      </w:r>
      <w:r>
        <w:rPr>
          <w:rFonts w:eastAsia="DengXian" w:hint="eastAsia"/>
          <w:sz w:val="20"/>
        </w:rPr>
        <w:t xml:space="preserve"> is</w:t>
      </w:r>
    </w:p>
    <w:p w:rsidR="00D654D7" w:rsidRDefault="00BD0615" w:rsidP="006C3DF7">
      <w:pPr>
        <w:pStyle w:val="BodyText"/>
        <w:numPr>
          <w:ilvl w:val="1"/>
          <w:numId w:val="9"/>
        </w:numPr>
        <w:spacing w:before="120"/>
        <w:rPr>
          <w:rFonts w:eastAsia="DengXian"/>
          <w:sz w:val="20"/>
        </w:rPr>
      </w:pPr>
      <w:r>
        <w:rPr>
          <w:rFonts w:eastAsia="DengXian"/>
          <w:sz w:val="20"/>
        </w:rPr>
        <w:t>10us for FR1; 5us for FR2</w:t>
      </w:r>
    </w:p>
    <w:p w:rsidR="00D654D7" w:rsidRDefault="00BD0615" w:rsidP="006C3DF7">
      <w:pPr>
        <w:pStyle w:val="BodyText"/>
        <w:numPr>
          <w:ilvl w:val="1"/>
          <w:numId w:val="9"/>
        </w:numPr>
        <w:spacing w:before="120"/>
        <w:rPr>
          <w:rFonts w:eastAsia="DengXian"/>
          <w:sz w:val="20"/>
        </w:rPr>
      </w:pPr>
      <w:r>
        <w:rPr>
          <w:rFonts w:eastAsia="DengXian"/>
          <w:sz w:val="20"/>
        </w:rPr>
        <w:t>Waveform puncturing during the transient period</w:t>
      </w:r>
    </w:p>
    <w:p w:rsidR="00D654D7" w:rsidRDefault="00BD0615" w:rsidP="006C3DF7">
      <w:pPr>
        <w:pStyle w:val="BodyText"/>
        <w:numPr>
          <w:ilvl w:val="0"/>
          <w:numId w:val="9"/>
        </w:numPr>
        <w:spacing w:before="120"/>
        <w:rPr>
          <w:rFonts w:eastAsia="DengXian"/>
          <w:sz w:val="20"/>
        </w:rPr>
      </w:pPr>
      <w:r>
        <w:rPr>
          <w:rFonts w:eastAsia="DengXian"/>
          <w:sz w:val="20"/>
        </w:rPr>
        <w:t>S-PSS detection search window: 80ms and 160ms</w:t>
      </w:r>
    </w:p>
    <w:p w:rsidR="00D654D7" w:rsidRDefault="00BD0615" w:rsidP="006C3DF7">
      <w:pPr>
        <w:spacing w:before="120" w:after="120"/>
        <w:rPr>
          <w:b/>
          <w:sz w:val="20"/>
        </w:rPr>
      </w:pPr>
      <w:r>
        <w:rPr>
          <w:sz w:val="20"/>
          <w:highlight w:val="green"/>
        </w:rPr>
        <w:t>Agreements</w:t>
      </w:r>
      <w:r>
        <w:rPr>
          <w:b/>
          <w:sz w:val="20"/>
        </w:rPr>
        <w:t>:</w:t>
      </w:r>
    </w:p>
    <w:p w:rsidR="00D654D7" w:rsidRDefault="00BD0615" w:rsidP="006C3DF7">
      <w:pPr>
        <w:pStyle w:val="ListParagraph"/>
        <w:numPr>
          <w:ilvl w:val="0"/>
          <w:numId w:val="10"/>
        </w:numPr>
        <w:spacing w:after="120"/>
        <w:rPr>
          <w:iCs/>
          <w:sz w:val="20"/>
          <w:szCs w:val="20"/>
        </w:rPr>
      </w:pPr>
      <w:r>
        <w:rPr>
          <w:iCs/>
          <w:sz w:val="20"/>
          <w:szCs w:val="20"/>
        </w:rPr>
        <w:t>I</w:t>
      </w:r>
      <w:r>
        <w:rPr>
          <w:rFonts w:hint="eastAsia"/>
          <w:iCs/>
          <w:sz w:val="20"/>
          <w:szCs w:val="20"/>
        </w:rPr>
        <w:t>n NR V2X, from transmitter perspective, the period (P1 in unit of ms) of S-SSB(s) transmission is the same for all SCS</w:t>
      </w:r>
      <w:r>
        <w:rPr>
          <w:iCs/>
          <w:sz w:val="20"/>
          <w:szCs w:val="20"/>
        </w:rPr>
        <w:t>, for further down-selection:</w:t>
      </w:r>
      <w:r>
        <w:rPr>
          <w:rFonts w:hint="eastAsia"/>
          <w:iCs/>
          <w:sz w:val="20"/>
          <w:szCs w:val="20"/>
        </w:rPr>
        <w:t xml:space="preserve"> </w:t>
      </w:r>
    </w:p>
    <w:p w:rsidR="00D654D7" w:rsidRDefault="00BD0615" w:rsidP="006C3DF7">
      <w:pPr>
        <w:pStyle w:val="ListParagraph"/>
        <w:numPr>
          <w:ilvl w:val="1"/>
          <w:numId w:val="11"/>
        </w:numPr>
        <w:spacing w:after="120"/>
        <w:rPr>
          <w:iCs/>
          <w:sz w:val="20"/>
          <w:szCs w:val="20"/>
        </w:rPr>
      </w:pPr>
      <w:r>
        <w:rPr>
          <w:rFonts w:hint="eastAsia"/>
          <w:iCs/>
          <w:sz w:val="20"/>
          <w:szCs w:val="20"/>
        </w:rPr>
        <w:t>Alt 1: t</w:t>
      </w:r>
      <w:r>
        <w:rPr>
          <w:iCs/>
          <w:sz w:val="20"/>
          <w:szCs w:val="20"/>
        </w:rPr>
        <w:t>he</w:t>
      </w:r>
      <w:r>
        <w:rPr>
          <w:rFonts w:hint="eastAsia"/>
          <w:iCs/>
          <w:sz w:val="20"/>
          <w:szCs w:val="20"/>
        </w:rPr>
        <w:t xml:space="preserve"> number of S-SSB(s) transmitted within P1is </w:t>
      </w:r>
      <w:r>
        <w:rPr>
          <w:iCs/>
          <w:sz w:val="20"/>
          <w:szCs w:val="20"/>
        </w:rPr>
        <w:t>(pre-)</w:t>
      </w:r>
      <w:r>
        <w:rPr>
          <w:rFonts w:hint="eastAsia"/>
          <w:iCs/>
          <w:sz w:val="20"/>
          <w:szCs w:val="20"/>
        </w:rPr>
        <w:t>configurable.</w:t>
      </w:r>
    </w:p>
    <w:p w:rsidR="00D654D7" w:rsidRDefault="00BD0615" w:rsidP="006C3DF7">
      <w:pPr>
        <w:pStyle w:val="ListParagraph"/>
        <w:numPr>
          <w:ilvl w:val="1"/>
          <w:numId w:val="11"/>
        </w:numPr>
        <w:spacing w:after="120"/>
        <w:rPr>
          <w:iCs/>
          <w:sz w:val="20"/>
          <w:szCs w:val="20"/>
        </w:rPr>
      </w:pPr>
      <w:r>
        <w:rPr>
          <w:rFonts w:hint="eastAsia"/>
          <w:iCs/>
          <w:sz w:val="20"/>
          <w:szCs w:val="20"/>
        </w:rPr>
        <w:lastRenderedPageBreak/>
        <w:t>Alt 2: t</w:t>
      </w:r>
      <w:r>
        <w:rPr>
          <w:iCs/>
          <w:sz w:val="20"/>
          <w:szCs w:val="20"/>
        </w:rPr>
        <w:t>he</w:t>
      </w:r>
      <w:r>
        <w:rPr>
          <w:rFonts w:hint="eastAsia"/>
          <w:iCs/>
          <w:sz w:val="20"/>
          <w:szCs w:val="20"/>
        </w:rPr>
        <w:t xml:space="preserve"> number of S-SSB(s) transmitted is fixed within P1</w:t>
      </w:r>
      <w:r>
        <w:rPr>
          <w:iCs/>
          <w:sz w:val="20"/>
          <w:szCs w:val="20"/>
        </w:rPr>
        <w:t xml:space="preserve"> </w:t>
      </w:r>
      <w:r>
        <w:rPr>
          <w:rFonts w:hint="eastAsia"/>
          <w:iCs/>
          <w:sz w:val="20"/>
          <w:szCs w:val="20"/>
        </w:rPr>
        <w:t>per SCS.</w:t>
      </w:r>
    </w:p>
    <w:p w:rsidR="00D654D7" w:rsidRDefault="00BD0615" w:rsidP="006C3DF7">
      <w:pPr>
        <w:pStyle w:val="ListParagraph"/>
        <w:numPr>
          <w:ilvl w:val="1"/>
          <w:numId w:val="11"/>
        </w:numPr>
        <w:spacing w:after="120"/>
        <w:rPr>
          <w:iCs/>
          <w:sz w:val="20"/>
          <w:szCs w:val="20"/>
        </w:rPr>
      </w:pPr>
      <w:r>
        <w:rPr>
          <w:rFonts w:hint="eastAsia"/>
          <w:iCs/>
          <w:sz w:val="20"/>
          <w:szCs w:val="20"/>
        </w:rPr>
        <w:t>Alt 3: only one S-SSB for all SCS is transmitted within P1.</w:t>
      </w:r>
    </w:p>
    <w:p w:rsidR="00D654D7" w:rsidRDefault="00BD0615" w:rsidP="006C3DF7">
      <w:pPr>
        <w:spacing w:before="120" w:after="120"/>
        <w:rPr>
          <w:sz w:val="20"/>
        </w:rPr>
      </w:pPr>
      <w:r>
        <w:rPr>
          <w:rFonts w:hint="eastAsia"/>
          <w:sz w:val="20"/>
        </w:rPr>
        <w:t xml:space="preserve">In this </w:t>
      </w:r>
      <w:r>
        <w:rPr>
          <w:sz w:val="20"/>
        </w:rPr>
        <w:t xml:space="preserve">contribution, we mainly </w:t>
      </w:r>
      <w:r w:rsidR="006C3DF7">
        <w:rPr>
          <w:sz w:val="20"/>
        </w:rPr>
        <w:t xml:space="preserve">further </w:t>
      </w:r>
      <w:r>
        <w:rPr>
          <w:sz w:val="20"/>
        </w:rPr>
        <w:t xml:space="preserve">discuss </w:t>
      </w:r>
      <w:bookmarkStart w:id="0" w:name="OLE_LINK5"/>
      <w:r>
        <w:rPr>
          <w:rFonts w:hint="eastAsia"/>
          <w:sz w:val="20"/>
        </w:rPr>
        <w:t xml:space="preserve">some </w:t>
      </w:r>
      <w:r>
        <w:rPr>
          <w:sz w:val="20"/>
        </w:rPr>
        <w:t>of</w:t>
      </w:r>
      <w:r>
        <w:rPr>
          <w:rFonts w:hint="eastAsia"/>
          <w:sz w:val="20"/>
        </w:rPr>
        <w:t xml:space="preserve"> </w:t>
      </w:r>
      <w:r>
        <w:rPr>
          <w:sz w:val="20"/>
        </w:rPr>
        <w:t xml:space="preserve">above </w:t>
      </w:r>
      <w:r>
        <w:rPr>
          <w:rFonts w:hint="eastAsia"/>
          <w:sz w:val="20"/>
        </w:rPr>
        <w:t>aspects for NR V2X synchronization</w:t>
      </w:r>
      <w:r>
        <w:rPr>
          <w:sz w:val="20"/>
        </w:rPr>
        <w:t>.</w:t>
      </w:r>
      <w:bookmarkEnd w:id="0"/>
    </w:p>
    <w:p w:rsidR="00D654D7" w:rsidRDefault="00BD0615" w:rsidP="006C3DF7">
      <w:pPr>
        <w:pStyle w:val="Heading1"/>
        <w:spacing w:before="120" w:after="120"/>
        <w:ind w:left="0"/>
      </w:pPr>
      <w:r>
        <w:rPr>
          <w:rFonts w:hint="eastAsia"/>
        </w:rPr>
        <w:t>Discussion</w:t>
      </w:r>
      <w:r>
        <w:t>s</w:t>
      </w:r>
      <w:r>
        <w:rPr>
          <w:rFonts w:hint="eastAsia"/>
        </w:rPr>
        <w:t xml:space="preserve"> </w:t>
      </w:r>
    </w:p>
    <w:p w:rsidR="00D654D7" w:rsidRDefault="00BD0615" w:rsidP="006C3DF7">
      <w:pPr>
        <w:pStyle w:val="Heading2"/>
        <w:spacing w:before="120" w:after="120"/>
        <w:ind w:left="991" w:right="210" w:hangingChars="354" w:hanging="991"/>
        <w:rPr>
          <w:szCs w:val="22"/>
        </w:rPr>
      </w:pPr>
      <w:r>
        <w:rPr>
          <w:rFonts w:hint="eastAsia"/>
        </w:rPr>
        <w:t>Sidelink synchronization signal/channel</w:t>
      </w:r>
    </w:p>
    <w:p w:rsidR="00D654D7" w:rsidRDefault="00BD0615" w:rsidP="006C3DF7">
      <w:pPr>
        <w:pStyle w:val="Heading3"/>
        <w:spacing w:after="120"/>
        <w:ind w:right="210"/>
        <w:rPr>
          <w:rFonts w:eastAsia="宋体"/>
          <w:sz w:val="20"/>
        </w:rPr>
      </w:pPr>
      <w:r>
        <w:rPr>
          <w:rFonts w:hint="eastAsia"/>
          <w:szCs w:val="24"/>
        </w:rPr>
        <w:t>PSBCH evaluation</w:t>
      </w:r>
    </w:p>
    <w:p w:rsidR="00D654D7" w:rsidRDefault="00BD0615" w:rsidP="006C3DF7">
      <w:pPr>
        <w:snapToGrid w:val="0"/>
        <w:spacing w:before="120" w:after="120" w:line="260" w:lineRule="auto"/>
        <w:rPr>
          <w:rFonts w:eastAsia="DengXian"/>
          <w:sz w:val="20"/>
        </w:rPr>
      </w:pPr>
      <w:r>
        <w:rPr>
          <w:rFonts w:hint="eastAsia"/>
          <w:sz w:val="20"/>
        </w:rPr>
        <w:t xml:space="preserve">At RAN1 #96bis meeting, it is agreed that PSBCH spans 11 PRBs (equal to S-SSB bandwidth). It means that the number of symbols for PSBCH and the designing of DMRS for PSBCH need to be designed further. The </w:t>
      </w:r>
      <w:r>
        <w:rPr>
          <w:rFonts w:eastAsia="DengXian" w:hint="eastAsia"/>
          <w:sz w:val="20"/>
        </w:rPr>
        <w:t xml:space="preserve">evaluation of PSBCH performance shall be helpful to considering PSBCH/DMRS. For this evaluation, it is agreed that the payload size of NR V2X PSBCH is 56 bits including 24 bits of CRC which is the same with NR PBCH. </w:t>
      </w:r>
    </w:p>
    <w:p w:rsidR="00D654D7" w:rsidRDefault="00BD0615" w:rsidP="006C3DF7">
      <w:pPr>
        <w:snapToGrid w:val="0"/>
        <w:spacing w:before="120" w:after="120" w:line="260" w:lineRule="auto"/>
        <w:rPr>
          <w:rFonts w:eastAsia="DengXian"/>
        </w:rPr>
      </w:pPr>
      <w:r>
        <w:rPr>
          <w:rFonts w:eastAsia="DengXian" w:hint="eastAsia"/>
          <w:sz w:val="20"/>
        </w:rPr>
        <w:t>Considering the same level of channel coding rate with NR PBCH, we evaluate PSBCH performance with 6 symbols for PSBCH (more symbols can improve PSBCH performance further), including the following three cases. Other simulation assumptions can be seen in Appendix A.</w:t>
      </w:r>
      <w:r>
        <w:rPr>
          <w:rFonts w:eastAsia="DengXian" w:hint="eastAsia"/>
        </w:rPr>
        <w:t xml:space="preserve"> </w:t>
      </w:r>
    </w:p>
    <w:p w:rsidR="00D654D7" w:rsidRDefault="00BD0615" w:rsidP="006C3DF7">
      <w:pPr>
        <w:numPr>
          <w:ilvl w:val="0"/>
          <w:numId w:val="12"/>
        </w:numPr>
        <w:spacing w:before="120" w:after="120"/>
        <w:ind w:left="1080"/>
        <w:rPr>
          <w:rFonts w:eastAsia="DengXian"/>
        </w:rPr>
      </w:pPr>
      <w:r>
        <w:rPr>
          <w:rFonts w:eastAsia="DengXian" w:hint="eastAsia"/>
        </w:rPr>
        <w:t>Case 1</w:t>
      </w:r>
      <w:r>
        <w:rPr>
          <w:rFonts w:eastAsia="DengXian"/>
        </w:rPr>
        <w:t xml:space="preserve"> (FDM)</w:t>
      </w:r>
      <w:r>
        <w:rPr>
          <w:rFonts w:eastAsia="DengXian" w:hint="eastAsia"/>
        </w:rPr>
        <w:t xml:space="preserve">: DMRS maps </w:t>
      </w:r>
      <w:r>
        <w:rPr>
          <w:rFonts w:eastAsia="DengXian"/>
        </w:rPr>
        <w:t xml:space="preserve">to one of </w:t>
      </w:r>
      <w:r>
        <w:rPr>
          <w:rFonts w:eastAsia="DengXian" w:hint="eastAsia"/>
        </w:rPr>
        <w:t xml:space="preserve">every 4 subcarriers </w:t>
      </w:r>
      <w:r>
        <w:rPr>
          <w:rFonts w:eastAsia="DengXian"/>
        </w:rPr>
        <w:t xml:space="preserve">in </w:t>
      </w:r>
      <w:r>
        <w:rPr>
          <w:rFonts w:eastAsia="DengXian" w:hint="eastAsia"/>
        </w:rPr>
        <w:t>every symbols.</w:t>
      </w:r>
      <w:r>
        <w:rPr>
          <w:rFonts w:eastAsia="DengXian"/>
        </w:rPr>
        <w:t xml:space="preserve"> </w:t>
      </w:r>
    </w:p>
    <w:p w:rsidR="00D654D7" w:rsidRDefault="00BD0615" w:rsidP="006C3DF7">
      <w:pPr>
        <w:numPr>
          <w:ilvl w:val="0"/>
          <w:numId w:val="12"/>
        </w:numPr>
        <w:spacing w:before="120" w:after="120"/>
        <w:ind w:left="1080"/>
        <w:rPr>
          <w:rFonts w:eastAsia="DengXian"/>
        </w:rPr>
      </w:pPr>
      <w:r>
        <w:rPr>
          <w:rFonts w:eastAsia="DengXian" w:hint="eastAsia"/>
        </w:rPr>
        <w:t>Case 2</w:t>
      </w:r>
      <w:r>
        <w:rPr>
          <w:rFonts w:eastAsia="DengXian"/>
        </w:rPr>
        <w:t xml:space="preserve"> (TDM)</w:t>
      </w:r>
      <w:r>
        <w:rPr>
          <w:rFonts w:eastAsia="DengXian" w:hint="eastAsia"/>
        </w:rPr>
        <w:t xml:space="preserve">: DMRS maps to </w:t>
      </w:r>
      <w:r>
        <w:rPr>
          <w:rFonts w:eastAsia="DengXian"/>
        </w:rPr>
        <w:t xml:space="preserve">every subcarriers in </w:t>
      </w:r>
      <w:r>
        <w:rPr>
          <w:rFonts w:eastAsia="DengXian" w:hint="eastAsia"/>
        </w:rPr>
        <w:t>2 out of 6 symbols</w:t>
      </w:r>
      <w:r>
        <w:rPr>
          <w:rFonts w:eastAsia="DengXian"/>
        </w:rPr>
        <w:t xml:space="preserve">. </w:t>
      </w:r>
    </w:p>
    <w:p w:rsidR="00D654D7" w:rsidRDefault="00BD0615" w:rsidP="006C3DF7">
      <w:pPr>
        <w:numPr>
          <w:ilvl w:val="0"/>
          <w:numId w:val="12"/>
        </w:numPr>
        <w:spacing w:before="120" w:after="120"/>
        <w:ind w:left="1080"/>
        <w:rPr>
          <w:rFonts w:eastAsia="DengXian"/>
        </w:rPr>
      </w:pPr>
      <w:r>
        <w:rPr>
          <w:rFonts w:eastAsia="DengXian" w:hint="eastAsia"/>
        </w:rPr>
        <w:t>Case 3</w:t>
      </w:r>
      <w:r>
        <w:rPr>
          <w:rFonts w:eastAsia="DengXian"/>
        </w:rPr>
        <w:t xml:space="preserve"> (FDM+TDM)</w:t>
      </w:r>
      <w:r>
        <w:rPr>
          <w:rFonts w:eastAsia="DengXian" w:hint="eastAsia"/>
        </w:rPr>
        <w:t xml:space="preserve">: DMRS maps </w:t>
      </w:r>
      <w:r>
        <w:rPr>
          <w:rFonts w:eastAsia="DengXian"/>
        </w:rPr>
        <w:t xml:space="preserve">to one of </w:t>
      </w:r>
      <w:r>
        <w:rPr>
          <w:rFonts w:eastAsia="DengXian" w:hint="eastAsia"/>
        </w:rPr>
        <w:t xml:space="preserve">every 4 subcarriers in 3 </w:t>
      </w:r>
      <w:r>
        <w:rPr>
          <w:rFonts w:eastAsia="DengXian"/>
        </w:rPr>
        <w:t xml:space="preserve">out of 6 </w:t>
      </w:r>
      <w:r>
        <w:rPr>
          <w:rFonts w:eastAsia="DengXian" w:hint="eastAsia"/>
        </w:rPr>
        <w:t>sym</w:t>
      </w:r>
      <w:r>
        <w:rPr>
          <w:rFonts w:eastAsia="DengXian"/>
        </w:rPr>
        <w:t>b</w:t>
      </w:r>
      <w:r>
        <w:rPr>
          <w:rFonts w:eastAsia="DengXian" w:hint="eastAsia"/>
        </w:rPr>
        <w:t>ol</w:t>
      </w:r>
      <w:r>
        <w:rPr>
          <w:rFonts w:eastAsia="DengXian"/>
        </w:rPr>
        <w:t xml:space="preserve">s. </w:t>
      </w:r>
    </w:p>
    <w:p w:rsidR="00D654D7" w:rsidRDefault="00D654D7" w:rsidP="006C3DF7">
      <w:pPr>
        <w:snapToGrid w:val="0"/>
        <w:spacing w:before="120" w:after="120" w:line="260" w:lineRule="auto"/>
        <w:jc w:val="center"/>
      </w:pPr>
      <w:r>
        <w:object w:dxaOrig="3395"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5pt;height:147.15pt" o:ole="">
            <v:imagedata r:id="rId8" o:title=""/>
          </v:shape>
          <o:OLEObject Type="Embed" ProgID="Visio.Drawing.11" ShapeID="_x0000_i1025" DrawAspect="Content" ObjectID="_1627494887" r:id="rId9"/>
        </w:object>
      </w:r>
      <w:r>
        <w:object w:dxaOrig="3395" w:dyaOrig="3810">
          <v:shape id="_x0000_i1026" type="#_x0000_t75" style="width:159.05pt;height:148.4pt" o:ole="">
            <v:imagedata r:id="rId10" o:title=""/>
          </v:shape>
          <o:OLEObject Type="Embed" ProgID="Visio.Drawing.11" ShapeID="_x0000_i1026" DrawAspect="Content" ObjectID="_1627494888" r:id="rId11"/>
        </w:object>
      </w:r>
      <w:r>
        <w:object w:dxaOrig="3395" w:dyaOrig="3818">
          <v:shape id="_x0000_i1027" type="#_x0000_t75" style="width:159.05pt;height:149pt" o:ole="">
            <v:imagedata r:id="rId12" o:title=""/>
          </v:shape>
          <o:OLEObject Type="Embed" ProgID="Visio.Drawing.11" ShapeID="_x0000_i1027" DrawAspect="Content" ObjectID="_1627494889" r:id="rId13"/>
        </w:object>
      </w:r>
    </w:p>
    <w:p w:rsidR="00D654D7" w:rsidRDefault="006C3DF7" w:rsidP="006C3DF7">
      <w:pPr>
        <w:pStyle w:val="ListParagraph"/>
        <w:spacing w:before="156" w:after="120"/>
        <w:ind w:left="540"/>
        <w:jc w:val="left"/>
        <w:rPr>
          <w:rFonts w:eastAsia="DengXian"/>
          <w:sz w:val="20"/>
          <w:szCs w:val="20"/>
        </w:rPr>
      </w:pPr>
      <w:r>
        <w:rPr>
          <w:sz w:val="20"/>
          <w:szCs w:val="20"/>
        </w:rPr>
        <w:t xml:space="preserve">(a)  </w:t>
      </w:r>
      <w:r w:rsidR="00BD0615">
        <w:rPr>
          <w:sz w:val="20"/>
          <w:szCs w:val="20"/>
        </w:rPr>
        <w:t xml:space="preserve">Case 1 </w:t>
      </w:r>
      <w:r>
        <w:rPr>
          <w:sz w:val="20"/>
          <w:szCs w:val="20"/>
        </w:rPr>
        <w:t>(FDM)</w:t>
      </w:r>
      <w:r w:rsidR="00BD0615">
        <w:rPr>
          <w:sz w:val="20"/>
          <w:szCs w:val="20"/>
        </w:rPr>
        <w:t xml:space="preserve">     </w:t>
      </w:r>
      <w:r>
        <w:rPr>
          <w:sz w:val="20"/>
          <w:szCs w:val="20"/>
        </w:rPr>
        <w:t xml:space="preserve">                </w:t>
      </w:r>
      <w:r w:rsidR="00BD0615">
        <w:rPr>
          <w:sz w:val="20"/>
          <w:szCs w:val="20"/>
        </w:rPr>
        <w:t>(b) Case 2</w:t>
      </w:r>
      <w:r>
        <w:rPr>
          <w:sz w:val="20"/>
          <w:szCs w:val="20"/>
        </w:rPr>
        <w:t xml:space="preserve"> (TDM)</w:t>
      </w:r>
      <w:r w:rsidR="00BD0615">
        <w:rPr>
          <w:sz w:val="20"/>
          <w:szCs w:val="20"/>
        </w:rPr>
        <w:t xml:space="preserve">                     (c) Case 3</w:t>
      </w:r>
      <w:r>
        <w:rPr>
          <w:sz w:val="20"/>
          <w:szCs w:val="20"/>
        </w:rPr>
        <w:t xml:space="preserve"> (FDM+TDM)</w:t>
      </w:r>
    </w:p>
    <w:p w:rsidR="00D654D7" w:rsidRDefault="00BD0615" w:rsidP="006C3DF7">
      <w:pPr>
        <w:numPr>
          <w:ilvl w:val="255"/>
          <w:numId w:val="0"/>
        </w:numPr>
        <w:spacing w:before="120" w:after="120"/>
        <w:jc w:val="center"/>
        <w:rPr>
          <w:rFonts w:eastAsia="DengXian"/>
        </w:rPr>
      </w:pPr>
      <w:r>
        <w:rPr>
          <w:rFonts w:eastAsia="DengXian" w:hint="eastAsia"/>
        </w:rPr>
        <w:t xml:space="preserve">Fig. 1 PSBCH </w:t>
      </w:r>
      <w:r>
        <w:rPr>
          <w:rFonts w:eastAsia="DengXian"/>
        </w:rPr>
        <w:t>DMRS patterns for</w:t>
      </w:r>
      <w:r>
        <w:rPr>
          <w:rFonts w:eastAsia="DengXian" w:hint="eastAsia"/>
        </w:rPr>
        <w:t xml:space="preserve"> evaluation</w:t>
      </w:r>
    </w:p>
    <w:p w:rsidR="00D654D7" w:rsidRDefault="00BD0615" w:rsidP="006C3DF7">
      <w:pPr>
        <w:adjustRightInd w:val="0"/>
        <w:snapToGrid w:val="0"/>
        <w:spacing w:before="120" w:after="120" w:line="260" w:lineRule="auto"/>
        <w:rPr>
          <w:rFonts w:eastAsia="DengXian"/>
          <w:sz w:val="20"/>
        </w:rPr>
      </w:pPr>
      <w:r>
        <w:rPr>
          <w:rFonts w:eastAsia="DengXian" w:hint="eastAsia"/>
          <w:sz w:val="20"/>
        </w:rPr>
        <w:t xml:space="preserve">Fig. 2 and Fig. 3 show the results of PSBCH performance for 240 km/h and 500 km/h for 15 kHz SCS. We also evaluate PSBCH performance for more cases </w:t>
      </w:r>
      <w:r w:rsidR="00D654D7">
        <w:rPr>
          <w:rFonts w:eastAsia="DengXian"/>
          <w:sz w:val="20"/>
        </w:rPr>
        <w:fldChar w:fldCharType="begin"/>
      </w:r>
      <w:r>
        <w:rPr>
          <w:rFonts w:eastAsia="DengXian"/>
          <w:sz w:val="20"/>
        </w:rPr>
        <w:instrText xml:space="preserve"> </w:instrText>
      </w:r>
      <w:r>
        <w:rPr>
          <w:rFonts w:eastAsia="DengXian" w:hint="eastAsia"/>
          <w:sz w:val="20"/>
        </w:rPr>
        <w:instrText>REF _Ref7461547 \r \h</w:instrText>
      </w:r>
      <w:r>
        <w:rPr>
          <w:rFonts w:eastAsia="DengXian"/>
          <w:sz w:val="20"/>
        </w:rPr>
        <w:instrText xml:space="preserve"> </w:instrText>
      </w:r>
      <w:r w:rsidR="00D654D7">
        <w:rPr>
          <w:rFonts w:eastAsia="DengXian"/>
          <w:sz w:val="20"/>
        </w:rPr>
      </w:r>
      <w:r w:rsidR="00D654D7">
        <w:rPr>
          <w:rFonts w:eastAsia="DengXian"/>
          <w:sz w:val="20"/>
        </w:rPr>
        <w:fldChar w:fldCharType="separate"/>
      </w:r>
      <w:r>
        <w:rPr>
          <w:rFonts w:eastAsia="DengXian"/>
          <w:sz w:val="20"/>
        </w:rPr>
        <w:t>[</w:t>
      </w:r>
      <w:r>
        <w:rPr>
          <w:rFonts w:eastAsia="DengXian" w:hint="eastAsia"/>
          <w:sz w:val="20"/>
        </w:rPr>
        <w:t>2</w:t>
      </w:r>
      <w:r>
        <w:rPr>
          <w:rFonts w:eastAsia="DengXian"/>
          <w:sz w:val="20"/>
        </w:rPr>
        <w:t>]</w:t>
      </w:r>
      <w:r w:rsidR="00D654D7">
        <w:rPr>
          <w:rFonts w:eastAsia="DengXian"/>
          <w:sz w:val="20"/>
        </w:rPr>
        <w:fldChar w:fldCharType="end"/>
      </w:r>
      <w:r>
        <w:rPr>
          <w:rFonts w:eastAsia="DengXian"/>
          <w:sz w:val="20"/>
        </w:rPr>
        <w:t xml:space="preserve"> </w:t>
      </w:r>
      <w:r>
        <w:rPr>
          <w:rFonts w:eastAsia="DengXian" w:hint="eastAsia"/>
          <w:sz w:val="20"/>
        </w:rPr>
        <w:t>with different carrier frequenc</w:t>
      </w:r>
      <w:r>
        <w:rPr>
          <w:rFonts w:eastAsia="DengXian"/>
          <w:sz w:val="20"/>
        </w:rPr>
        <w:t>ies</w:t>
      </w:r>
      <w:r>
        <w:rPr>
          <w:rFonts w:eastAsia="DengXian" w:hint="eastAsia"/>
          <w:sz w:val="20"/>
        </w:rPr>
        <w:t>, SCS and speed</w:t>
      </w:r>
      <w:r>
        <w:rPr>
          <w:rFonts w:eastAsia="DengXian"/>
          <w:sz w:val="20"/>
        </w:rPr>
        <w:t>s</w:t>
      </w:r>
      <w:r>
        <w:rPr>
          <w:rFonts w:eastAsia="DengXian" w:hint="eastAsia"/>
          <w:sz w:val="20"/>
        </w:rPr>
        <w:t>.</w:t>
      </w:r>
    </w:p>
    <w:p w:rsidR="00D654D7" w:rsidRDefault="00BD0615" w:rsidP="006C3DF7">
      <w:pPr>
        <w:adjustRightInd w:val="0"/>
        <w:snapToGrid w:val="0"/>
        <w:spacing w:before="120" w:after="120" w:line="260" w:lineRule="auto"/>
        <w:rPr>
          <w:rFonts w:eastAsia="DengXian"/>
          <w:sz w:val="20"/>
        </w:rPr>
      </w:pPr>
      <w:r>
        <w:rPr>
          <w:sz w:val="20"/>
          <w:szCs w:val="22"/>
        </w:rPr>
        <w:t xml:space="preserve">It can be observed from the results </w:t>
      </w:r>
      <w:r>
        <w:rPr>
          <w:rFonts w:hint="eastAsia"/>
          <w:sz w:val="20"/>
          <w:szCs w:val="22"/>
        </w:rPr>
        <w:t>in Fig.2 and Fig.3</w:t>
      </w:r>
      <w:r>
        <w:rPr>
          <w:sz w:val="20"/>
          <w:szCs w:val="22"/>
        </w:rPr>
        <w:t xml:space="preserve"> that case 1 shows obviously better performance than case 2. The main reasons include two aspects: a) case 1 has lower DMRS overhead and therefore lower channel coding rate than case 2; b) the time domain density of DMRS in case 2 is not high enough to accurately estimate channel. Comparing to case 3, case 1 also has a slight performance gain. This is because the channel coding rate difference between the two cases is not large, while the performance difference of channel estimation due to different DMRS densities plays a key role.</w:t>
      </w:r>
    </w:p>
    <w:p w:rsidR="00D654D7" w:rsidRDefault="00BD0615" w:rsidP="006C3DF7">
      <w:pPr>
        <w:spacing w:before="120" w:after="120"/>
        <w:jc w:val="center"/>
      </w:pPr>
      <w:r>
        <w:rPr>
          <w:noProof/>
          <w:sz w:val="20"/>
        </w:rPr>
        <w:lastRenderedPageBreak/>
        <w:drawing>
          <wp:inline distT="0" distB="0" distL="114300" distR="114300">
            <wp:extent cx="5573395" cy="3218815"/>
            <wp:effectExtent l="0" t="0" r="0" b="63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4" cstate="print"/>
                    <a:stretch>
                      <a:fillRect/>
                    </a:stretch>
                  </pic:blipFill>
                  <pic:spPr>
                    <a:xfrm>
                      <a:off x="0" y="0"/>
                      <a:ext cx="5581396" cy="3223937"/>
                    </a:xfrm>
                    <a:prstGeom prst="rect">
                      <a:avLst/>
                    </a:prstGeom>
                    <a:noFill/>
                    <a:ln w="9525">
                      <a:noFill/>
                    </a:ln>
                  </pic:spPr>
                </pic:pic>
              </a:graphicData>
            </a:graphic>
          </wp:inline>
        </w:drawing>
      </w:r>
    </w:p>
    <w:p w:rsidR="00D654D7" w:rsidRDefault="00BD0615" w:rsidP="006C3DF7">
      <w:pPr>
        <w:adjustRightInd w:val="0"/>
        <w:snapToGrid w:val="0"/>
        <w:spacing w:before="120" w:after="120" w:line="260" w:lineRule="auto"/>
        <w:jc w:val="center"/>
        <w:rPr>
          <w:sz w:val="20"/>
        </w:rPr>
      </w:pPr>
      <w:r>
        <w:rPr>
          <w:rFonts w:hint="eastAsia"/>
          <w:sz w:val="20"/>
        </w:rPr>
        <w:t xml:space="preserve">Fig. 2 PSBCH decoding performance for 240 km/h </w:t>
      </w:r>
    </w:p>
    <w:p w:rsidR="00D654D7" w:rsidRDefault="00BD0615" w:rsidP="006C3DF7">
      <w:pPr>
        <w:spacing w:before="120" w:after="120"/>
        <w:jc w:val="center"/>
      </w:pPr>
      <w:r>
        <w:rPr>
          <w:noProof/>
        </w:rPr>
        <w:drawing>
          <wp:inline distT="0" distB="0" distL="114300" distR="114300">
            <wp:extent cx="5562600" cy="3209925"/>
            <wp:effectExtent l="0" t="0" r="0" b="8890"/>
            <wp:docPr id="1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pic:cNvPicPr>
                      <a:picLocks noChangeAspect="1"/>
                    </pic:cNvPicPr>
                  </pic:nvPicPr>
                  <pic:blipFill>
                    <a:blip r:embed="rId15" cstate="print"/>
                    <a:stretch>
                      <a:fillRect/>
                    </a:stretch>
                  </pic:blipFill>
                  <pic:spPr>
                    <a:xfrm>
                      <a:off x="0" y="0"/>
                      <a:ext cx="5580493" cy="3220605"/>
                    </a:xfrm>
                    <a:prstGeom prst="rect">
                      <a:avLst/>
                    </a:prstGeom>
                    <a:noFill/>
                    <a:ln w="9525">
                      <a:noFill/>
                    </a:ln>
                  </pic:spPr>
                </pic:pic>
              </a:graphicData>
            </a:graphic>
          </wp:inline>
        </w:drawing>
      </w:r>
    </w:p>
    <w:p w:rsidR="00D654D7" w:rsidRDefault="00BD0615" w:rsidP="006C3DF7">
      <w:pPr>
        <w:adjustRightInd w:val="0"/>
        <w:snapToGrid w:val="0"/>
        <w:spacing w:before="120" w:after="120" w:line="260" w:lineRule="auto"/>
        <w:jc w:val="center"/>
        <w:rPr>
          <w:sz w:val="20"/>
        </w:rPr>
      </w:pPr>
      <w:r>
        <w:rPr>
          <w:rFonts w:hint="eastAsia"/>
          <w:sz w:val="20"/>
        </w:rPr>
        <w:t xml:space="preserve">Fig. 3 PSBCH decoding performance for 500 km/h </w:t>
      </w:r>
    </w:p>
    <w:p w:rsidR="00D654D7" w:rsidRDefault="00BD0615" w:rsidP="006C3DF7">
      <w:pPr>
        <w:pStyle w:val="YJ-Observation"/>
        <w:spacing w:before="120" w:after="120"/>
        <w:rPr>
          <w:lang w:val="en-US" w:eastAsia="zh-CN"/>
        </w:rPr>
      </w:pPr>
      <w:bookmarkStart w:id="1" w:name="_Toc11088"/>
      <w:bookmarkStart w:id="2" w:name="_Toc7474984"/>
      <w:bookmarkStart w:id="3" w:name="_Toc16881433"/>
      <w:r>
        <w:rPr>
          <w:rFonts w:hint="eastAsia"/>
          <w:lang w:val="en-US" w:eastAsia="zh-CN"/>
        </w:rPr>
        <w:t xml:space="preserve">For PSBCH, FDM </w:t>
      </w:r>
      <w:r>
        <w:rPr>
          <w:lang w:val="en-US" w:eastAsia="zh-CN"/>
        </w:rPr>
        <w:t xml:space="preserve">DMRS pattern </w:t>
      </w:r>
      <w:r>
        <w:rPr>
          <w:rFonts w:hint="eastAsia"/>
          <w:lang w:val="en-US" w:eastAsia="zh-CN"/>
        </w:rPr>
        <w:t>shows better performance than TDM</w:t>
      </w:r>
      <w:r>
        <w:rPr>
          <w:lang w:val="en-US" w:eastAsia="zh-CN"/>
        </w:rPr>
        <w:t xml:space="preserve"> DMRS pattern</w:t>
      </w:r>
      <w:r>
        <w:rPr>
          <w:rFonts w:hint="eastAsia"/>
          <w:lang w:val="en-US" w:eastAsia="zh-CN"/>
        </w:rPr>
        <w:t>.</w:t>
      </w:r>
      <w:bookmarkEnd w:id="1"/>
      <w:bookmarkEnd w:id="2"/>
      <w:bookmarkEnd w:id="3"/>
      <w:r>
        <w:rPr>
          <w:rFonts w:hint="eastAsia"/>
          <w:lang w:val="en-US" w:eastAsia="zh-CN"/>
        </w:rPr>
        <w:t xml:space="preserve"> </w:t>
      </w:r>
    </w:p>
    <w:p w:rsidR="00D654D7" w:rsidRDefault="00BD0615" w:rsidP="006C3DF7">
      <w:pPr>
        <w:pStyle w:val="YJ-Proposal"/>
        <w:spacing w:before="120" w:after="120"/>
      </w:pPr>
      <w:bookmarkStart w:id="4" w:name="_Toc7474990"/>
      <w:bookmarkStart w:id="5" w:name="_Toc16881436"/>
      <w:r>
        <w:rPr>
          <w:rFonts w:hint="eastAsia"/>
          <w:szCs w:val="22"/>
          <w:lang w:val="en-US" w:eastAsia="zh-CN"/>
        </w:rPr>
        <w:t xml:space="preserve">PSBCH </w:t>
      </w:r>
      <w:r>
        <w:rPr>
          <w:lang w:val="en-US" w:eastAsia="zh-CN"/>
        </w:rPr>
        <w:t>DMRS</w:t>
      </w:r>
      <w:r>
        <w:rPr>
          <w:rFonts w:hint="eastAsia"/>
          <w:lang w:val="en-US" w:eastAsia="zh-CN"/>
        </w:rPr>
        <w:t xml:space="preserve"> </w:t>
      </w:r>
      <w:r w:rsidR="006C3DF7">
        <w:rPr>
          <w:lang w:val="en-US" w:eastAsia="zh-CN"/>
        </w:rPr>
        <w:t xml:space="preserve">is allocated on </w:t>
      </w:r>
      <w:r>
        <w:rPr>
          <w:rFonts w:hint="eastAsia"/>
          <w:lang w:val="en-US" w:eastAsia="zh-CN"/>
        </w:rPr>
        <w:t xml:space="preserve">one of every 4 subcarriers </w:t>
      </w:r>
      <w:r w:rsidR="006C3DF7">
        <w:rPr>
          <w:lang w:val="en-US" w:eastAsia="zh-CN"/>
        </w:rPr>
        <w:t xml:space="preserve">and </w:t>
      </w:r>
      <w:r>
        <w:rPr>
          <w:rFonts w:hint="eastAsia"/>
          <w:lang w:val="en-US" w:eastAsia="zh-CN"/>
        </w:rPr>
        <w:t xml:space="preserve">in </w:t>
      </w:r>
      <w:r>
        <w:rPr>
          <w:lang w:val="en-US" w:eastAsia="zh-CN"/>
        </w:rPr>
        <w:t>every PSBCH symbol.</w:t>
      </w:r>
      <w:bookmarkEnd w:id="4"/>
      <w:bookmarkEnd w:id="5"/>
      <w:r>
        <w:rPr>
          <w:lang w:val="en-US" w:eastAsia="zh-CN"/>
        </w:rPr>
        <w:t xml:space="preserve"> </w:t>
      </w:r>
      <w:bookmarkStart w:id="6" w:name="_GoBack"/>
      <w:bookmarkEnd w:id="6"/>
    </w:p>
    <w:p w:rsidR="00D654D7" w:rsidRDefault="00D654D7" w:rsidP="006C3DF7">
      <w:pPr>
        <w:pStyle w:val="YJ-Proposal"/>
        <w:numPr>
          <w:ilvl w:val="0"/>
          <w:numId w:val="0"/>
        </w:numPr>
        <w:spacing w:before="120" w:after="120"/>
      </w:pPr>
    </w:p>
    <w:p w:rsidR="00D654D7" w:rsidRDefault="00BD0615" w:rsidP="006C3DF7">
      <w:pPr>
        <w:pStyle w:val="Heading3"/>
        <w:spacing w:after="120"/>
        <w:ind w:right="210"/>
        <w:rPr>
          <w:szCs w:val="24"/>
        </w:rPr>
      </w:pPr>
      <w:r>
        <w:rPr>
          <w:rFonts w:hint="eastAsia"/>
          <w:szCs w:val="24"/>
        </w:rPr>
        <w:lastRenderedPageBreak/>
        <w:t>S-SSB structure</w:t>
      </w:r>
    </w:p>
    <w:p w:rsidR="00D654D7" w:rsidRPr="00245398" w:rsidRDefault="00BD0615" w:rsidP="00245398">
      <w:pPr>
        <w:snapToGrid w:val="0"/>
        <w:spacing w:before="120" w:after="120" w:line="260" w:lineRule="auto"/>
        <w:ind w:rightChars="100" w:right="210"/>
        <w:rPr>
          <w:sz w:val="20"/>
        </w:rPr>
      </w:pPr>
      <w:r>
        <w:rPr>
          <w:rFonts w:hint="eastAsia"/>
          <w:sz w:val="20"/>
        </w:rPr>
        <w:t xml:space="preserve">For S-SSB structure, it should be noted that AGC and Tx/Rx switch gap are </w:t>
      </w:r>
      <w:r w:rsidR="009714A0">
        <w:rPr>
          <w:sz w:val="20"/>
        </w:rPr>
        <w:t xml:space="preserve">anyway </w:t>
      </w:r>
      <w:r>
        <w:rPr>
          <w:rFonts w:hint="eastAsia"/>
          <w:sz w:val="20"/>
        </w:rPr>
        <w:t>needed in the first symbol(s) and the last symbol(s) respectively. In LTE V2X, the first symbol in SLSS/PSBCH subframe is mapped to PSBCH. Even though the first symbol is punctured in receiver due to AGC process, it would not cause significant impact on PSBCH decoding pe</w:t>
      </w:r>
      <w:r>
        <w:rPr>
          <w:sz w:val="20"/>
        </w:rPr>
        <w:t>r</w:t>
      </w:r>
      <w:r>
        <w:rPr>
          <w:rFonts w:hint="eastAsia"/>
          <w:sz w:val="20"/>
        </w:rPr>
        <w:t xml:space="preserve">formance </w:t>
      </w:r>
      <w:r>
        <w:rPr>
          <w:sz w:val="20"/>
        </w:rPr>
        <w:t>due to</w:t>
      </w:r>
      <w:r>
        <w:rPr>
          <w:rFonts w:hint="eastAsia"/>
          <w:sz w:val="20"/>
        </w:rPr>
        <w:t xml:space="preserve"> low channel code rate. </w:t>
      </w:r>
      <w:r w:rsidR="00245398">
        <w:rPr>
          <w:sz w:val="20"/>
        </w:rPr>
        <w:t>For NR, a</w:t>
      </w:r>
      <w:r w:rsidR="00245398">
        <w:rPr>
          <w:rFonts w:hint="eastAsia"/>
          <w:sz w:val="20"/>
        </w:rPr>
        <w:t xml:space="preserve">ccording to </w:t>
      </w:r>
      <w:r w:rsidR="00245398">
        <w:rPr>
          <w:sz w:val="20"/>
        </w:rPr>
        <w:t>in</w:t>
      </w:r>
      <w:r w:rsidR="00245398">
        <w:rPr>
          <w:rFonts w:hint="eastAsia"/>
          <w:sz w:val="20"/>
        </w:rPr>
        <w:t xml:space="preserve">coming LS from RAN4 [3], AGC setting time </w:t>
      </w:r>
      <w:r w:rsidR="00245398">
        <w:rPr>
          <w:sz w:val="20"/>
        </w:rPr>
        <w:t>f</w:t>
      </w:r>
      <w:r w:rsidR="00245398">
        <w:rPr>
          <w:rFonts w:hint="eastAsia"/>
          <w:sz w:val="20"/>
        </w:rPr>
        <w:t>or large SCS, e.g., 60 kHz</w:t>
      </w:r>
      <w:r w:rsidR="00245398">
        <w:rPr>
          <w:sz w:val="20"/>
        </w:rPr>
        <w:t>,</w:t>
      </w:r>
      <w:r w:rsidR="00245398">
        <w:rPr>
          <w:rFonts w:hint="eastAsia"/>
          <w:sz w:val="20"/>
        </w:rPr>
        <w:t xml:space="preserve"> is not larger than 18 us which is almost one symbol duration. So one symbol</w:t>
      </w:r>
      <w:r w:rsidR="00245398">
        <w:rPr>
          <w:sz w:val="20"/>
        </w:rPr>
        <w:t>-length</w:t>
      </w:r>
      <w:r w:rsidR="00245398">
        <w:rPr>
          <w:rFonts w:hint="eastAsia"/>
          <w:sz w:val="20"/>
        </w:rPr>
        <w:t xml:space="preserve"> </w:t>
      </w:r>
      <w:r w:rsidR="00245398">
        <w:rPr>
          <w:sz w:val="20"/>
        </w:rPr>
        <w:t xml:space="preserve">of </w:t>
      </w:r>
      <w:r w:rsidR="00245398">
        <w:rPr>
          <w:rFonts w:hint="eastAsia"/>
          <w:sz w:val="20"/>
        </w:rPr>
        <w:t xml:space="preserve">AGC setting time </w:t>
      </w:r>
      <w:r w:rsidR="00245398">
        <w:rPr>
          <w:sz w:val="20"/>
        </w:rPr>
        <w:t>can be taken as</w:t>
      </w:r>
      <w:r w:rsidR="00245398">
        <w:rPr>
          <w:rFonts w:hint="eastAsia"/>
          <w:sz w:val="20"/>
        </w:rPr>
        <w:t xml:space="preserve"> the unified </w:t>
      </w:r>
      <w:r w:rsidR="00245398">
        <w:rPr>
          <w:sz w:val="20"/>
        </w:rPr>
        <w:t>assumption in NR</w:t>
      </w:r>
      <w:r w:rsidR="00245398">
        <w:rPr>
          <w:rFonts w:hint="eastAsia"/>
          <w:sz w:val="20"/>
        </w:rPr>
        <w:t>.</w:t>
      </w:r>
      <w:r w:rsidR="00245398">
        <w:rPr>
          <w:sz w:val="20"/>
        </w:rPr>
        <w:t xml:space="preserve"> Therefore the</w:t>
      </w:r>
      <w:r>
        <w:rPr>
          <w:rFonts w:hint="eastAsia"/>
          <w:sz w:val="20"/>
        </w:rPr>
        <w:t xml:space="preserve"> </w:t>
      </w:r>
      <w:r w:rsidR="00245398">
        <w:rPr>
          <w:sz w:val="20"/>
        </w:rPr>
        <w:t xml:space="preserve">LTE </w:t>
      </w:r>
      <w:r>
        <w:rPr>
          <w:rFonts w:hint="eastAsia"/>
          <w:sz w:val="20"/>
        </w:rPr>
        <w:t xml:space="preserve">design </w:t>
      </w:r>
      <w:r w:rsidR="009714A0">
        <w:rPr>
          <w:sz w:val="20"/>
        </w:rPr>
        <w:t xml:space="preserve">philosophy </w:t>
      </w:r>
      <w:r w:rsidR="00245398">
        <w:rPr>
          <w:sz w:val="20"/>
        </w:rPr>
        <w:t xml:space="preserve">accommodating AGC support </w:t>
      </w:r>
      <w:r>
        <w:rPr>
          <w:rFonts w:hint="eastAsia"/>
          <w:sz w:val="20"/>
        </w:rPr>
        <w:t xml:space="preserve">can be reused for </w:t>
      </w:r>
      <w:r>
        <w:rPr>
          <w:sz w:val="20"/>
        </w:rPr>
        <w:t xml:space="preserve">NR </w:t>
      </w:r>
      <w:r>
        <w:rPr>
          <w:rFonts w:hint="eastAsia"/>
          <w:sz w:val="20"/>
        </w:rPr>
        <w:t xml:space="preserve">S-SSB structure. </w:t>
      </w:r>
    </w:p>
    <w:p w:rsidR="00D654D7" w:rsidRDefault="009714A0" w:rsidP="006C3DF7">
      <w:pPr>
        <w:snapToGrid w:val="0"/>
        <w:spacing w:before="120" w:after="120" w:line="260" w:lineRule="auto"/>
        <w:ind w:rightChars="100" w:right="210"/>
        <w:rPr>
          <w:rFonts w:eastAsiaTheme="minorEastAsia"/>
          <w:sz w:val="20"/>
          <w:szCs w:val="22"/>
        </w:rPr>
      </w:pPr>
      <w:r>
        <w:rPr>
          <w:rFonts w:eastAsiaTheme="minorEastAsia"/>
          <w:sz w:val="20"/>
          <w:szCs w:val="22"/>
        </w:rPr>
        <w:t>Due to</w:t>
      </w:r>
      <w:r w:rsidR="00BD0615">
        <w:rPr>
          <w:rFonts w:eastAsiaTheme="minorEastAsia" w:hint="eastAsia"/>
          <w:sz w:val="20"/>
          <w:szCs w:val="22"/>
        </w:rPr>
        <w:t xml:space="preserve"> the </w:t>
      </w:r>
      <w:r w:rsidR="00BD0615">
        <w:rPr>
          <w:rFonts w:eastAsiaTheme="minorEastAsia"/>
          <w:sz w:val="20"/>
          <w:szCs w:val="22"/>
        </w:rPr>
        <w:t>PAPR/CM gap between S-PSS and S-SSS/PSBCH</w:t>
      </w:r>
      <w:r w:rsidR="00BD0615">
        <w:rPr>
          <w:rFonts w:eastAsiaTheme="minorEastAsia" w:hint="eastAsia"/>
          <w:sz w:val="20"/>
          <w:szCs w:val="22"/>
        </w:rPr>
        <w:t xml:space="preserve"> (about 5 dB), </w:t>
      </w:r>
      <w:r w:rsidR="00BD0615">
        <w:rPr>
          <w:rFonts w:eastAsiaTheme="minorEastAsia"/>
          <w:sz w:val="20"/>
          <w:szCs w:val="22"/>
        </w:rPr>
        <w:t>S-PSS and S-SSS</w:t>
      </w:r>
      <w:r w:rsidR="00BD0615">
        <w:rPr>
          <w:rFonts w:eastAsiaTheme="minorEastAsia" w:hint="eastAsia"/>
          <w:sz w:val="20"/>
          <w:szCs w:val="22"/>
        </w:rPr>
        <w:t xml:space="preserve">/PSBCH </w:t>
      </w:r>
      <w:r>
        <w:rPr>
          <w:rFonts w:eastAsiaTheme="minorEastAsia"/>
          <w:sz w:val="20"/>
          <w:szCs w:val="22"/>
        </w:rPr>
        <w:t xml:space="preserve">can have a power difference </w:t>
      </w:r>
      <w:r w:rsidR="00BD0615">
        <w:rPr>
          <w:rFonts w:eastAsiaTheme="minorEastAsia" w:hint="eastAsia"/>
          <w:sz w:val="20"/>
          <w:szCs w:val="22"/>
        </w:rPr>
        <w:t xml:space="preserve">and a transient period would exist between the S-PSS </w:t>
      </w:r>
      <w:r>
        <w:rPr>
          <w:rFonts w:eastAsiaTheme="minorEastAsia"/>
          <w:sz w:val="20"/>
          <w:szCs w:val="22"/>
        </w:rPr>
        <w:t xml:space="preserve">symbols </w:t>
      </w:r>
      <w:r w:rsidR="00BD0615">
        <w:rPr>
          <w:rFonts w:eastAsiaTheme="minorEastAsia" w:hint="eastAsia"/>
          <w:sz w:val="20"/>
          <w:szCs w:val="22"/>
        </w:rPr>
        <w:t xml:space="preserve">and </w:t>
      </w:r>
      <w:r w:rsidR="00BD0615">
        <w:rPr>
          <w:rFonts w:eastAsiaTheme="minorEastAsia"/>
          <w:sz w:val="20"/>
          <w:szCs w:val="22"/>
        </w:rPr>
        <w:t>S-SSS/PSBCH</w:t>
      </w:r>
      <w:r>
        <w:rPr>
          <w:rFonts w:eastAsiaTheme="minorEastAsia"/>
          <w:sz w:val="20"/>
          <w:szCs w:val="22"/>
        </w:rPr>
        <w:t xml:space="preserve"> symbols</w:t>
      </w:r>
      <w:r w:rsidR="00BD0615">
        <w:rPr>
          <w:rFonts w:eastAsiaTheme="minorEastAsia" w:hint="eastAsia"/>
          <w:sz w:val="20"/>
          <w:szCs w:val="22"/>
        </w:rPr>
        <w:t xml:space="preserve">. </w:t>
      </w:r>
    </w:p>
    <w:p w:rsidR="00D654D7" w:rsidRDefault="00BD0615" w:rsidP="006C3DF7">
      <w:pPr>
        <w:snapToGrid w:val="0"/>
        <w:spacing w:before="120" w:after="120" w:line="260" w:lineRule="auto"/>
        <w:ind w:rightChars="100" w:right="210"/>
        <w:rPr>
          <w:rFonts w:eastAsiaTheme="minorEastAsia"/>
          <w:sz w:val="20"/>
        </w:rPr>
      </w:pPr>
      <w:r>
        <w:rPr>
          <w:rFonts w:eastAsiaTheme="minorEastAsia" w:hint="eastAsia"/>
          <w:sz w:val="20"/>
        </w:rPr>
        <w:t xml:space="preserve">We perform </w:t>
      </w:r>
      <w:r w:rsidR="009714A0">
        <w:rPr>
          <w:rFonts w:eastAsiaTheme="minorEastAsia"/>
          <w:sz w:val="20"/>
        </w:rPr>
        <w:t xml:space="preserve">the following </w:t>
      </w:r>
      <w:r>
        <w:rPr>
          <w:rFonts w:eastAsiaTheme="minorEastAsia" w:hint="eastAsia"/>
          <w:sz w:val="20"/>
        </w:rPr>
        <w:t>sim</w:t>
      </w:r>
      <w:r w:rsidR="009714A0">
        <w:rPr>
          <w:rFonts w:eastAsiaTheme="minorEastAsia" w:hint="eastAsia"/>
          <w:sz w:val="20"/>
        </w:rPr>
        <w:t>ulation</w:t>
      </w:r>
      <w:r w:rsidR="009714A0">
        <w:rPr>
          <w:rFonts w:eastAsiaTheme="minorEastAsia"/>
          <w:sz w:val="20"/>
        </w:rPr>
        <w:t xml:space="preserve"> </w:t>
      </w:r>
      <w:r>
        <w:rPr>
          <w:rFonts w:eastAsiaTheme="minorEastAsia" w:hint="eastAsia"/>
          <w:sz w:val="20"/>
        </w:rPr>
        <w:t>cases:</w:t>
      </w:r>
    </w:p>
    <w:p w:rsidR="00A16E29" w:rsidRDefault="00BD0615" w:rsidP="006C3DF7">
      <w:pPr>
        <w:pStyle w:val="ListParagraph"/>
        <w:numPr>
          <w:ilvl w:val="0"/>
          <w:numId w:val="17"/>
        </w:numPr>
        <w:snapToGrid w:val="0"/>
        <w:spacing w:before="120" w:after="120" w:line="260" w:lineRule="auto"/>
        <w:ind w:rightChars="100" w:right="210"/>
        <w:rPr>
          <w:sz w:val="20"/>
        </w:rPr>
      </w:pPr>
      <w:r w:rsidRPr="005F5803">
        <w:rPr>
          <w:rFonts w:eastAsiaTheme="minorEastAsia" w:hint="eastAsia"/>
          <w:sz w:val="20"/>
        </w:rPr>
        <w:t>Case 1</w:t>
      </w:r>
      <w:r w:rsidR="009714A0" w:rsidRPr="005F5803">
        <w:rPr>
          <w:rFonts w:eastAsiaTheme="minorEastAsia"/>
          <w:sz w:val="20"/>
        </w:rPr>
        <w:t xml:space="preserve"> (with a AGC </w:t>
      </w:r>
      <w:r w:rsidR="009714A0" w:rsidRPr="005F5803">
        <w:rPr>
          <w:rFonts w:hint="eastAsia"/>
          <w:sz w:val="20"/>
        </w:rPr>
        <w:t>transient period</w:t>
      </w:r>
      <w:r w:rsidR="009714A0" w:rsidRPr="005F5803">
        <w:rPr>
          <w:rFonts w:eastAsiaTheme="minorEastAsia"/>
          <w:sz w:val="20"/>
        </w:rPr>
        <w:t>)</w:t>
      </w:r>
      <w:r w:rsidRPr="005F5803">
        <w:rPr>
          <w:rFonts w:eastAsiaTheme="minorEastAsia" w:hint="eastAsia"/>
          <w:sz w:val="20"/>
        </w:rPr>
        <w:t xml:space="preserve">: </w:t>
      </w:r>
      <w:r w:rsidR="009714A0" w:rsidRPr="005F5803">
        <w:rPr>
          <w:rFonts w:eastAsiaTheme="minorEastAsia"/>
          <w:sz w:val="20"/>
        </w:rPr>
        <w:t xml:space="preserve">For </w:t>
      </w:r>
      <w:r w:rsidR="009714A0" w:rsidRPr="005F5803">
        <w:rPr>
          <w:sz w:val="20"/>
        </w:rPr>
        <w:t>MPR values,</w:t>
      </w:r>
      <w:r w:rsidR="005F5803">
        <w:rPr>
          <w:sz w:val="20"/>
        </w:rPr>
        <w:t xml:space="preserve"> S-PSS = 0 dB, S-SSS = 3 dB. </w:t>
      </w:r>
      <w:r w:rsidR="00B32F4B">
        <w:rPr>
          <w:sz w:val="20"/>
        </w:rPr>
        <w:t>O</w:t>
      </w:r>
      <w:r w:rsidR="005F5803">
        <w:rPr>
          <w:rFonts w:hint="eastAsia"/>
          <w:sz w:val="20"/>
        </w:rPr>
        <w:t>ne symbol of S-SSS</w:t>
      </w:r>
      <w:r w:rsidR="005F5803">
        <w:rPr>
          <w:sz w:val="20"/>
        </w:rPr>
        <w:t>/PSBCH</w:t>
      </w:r>
      <w:r w:rsidR="005F5803">
        <w:rPr>
          <w:rFonts w:hint="eastAsia"/>
          <w:sz w:val="20"/>
        </w:rPr>
        <w:t xml:space="preserve"> </w:t>
      </w:r>
      <w:r w:rsidR="00B32F4B">
        <w:rPr>
          <w:sz w:val="20"/>
        </w:rPr>
        <w:t>is assumed for</w:t>
      </w:r>
      <w:r w:rsidR="005F5803">
        <w:rPr>
          <w:rFonts w:hint="eastAsia"/>
          <w:sz w:val="20"/>
        </w:rPr>
        <w:t xml:space="preserve"> </w:t>
      </w:r>
      <w:r w:rsidR="00B32F4B">
        <w:rPr>
          <w:sz w:val="20"/>
        </w:rPr>
        <w:t xml:space="preserve">AGC </w:t>
      </w:r>
      <w:r w:rsidR="005F5803">
        <w:rPr>
          <w:rFonts w:hint="eastAsia"/>
          <w:sz w:val="20"/>
        </w:rPr>
        <w:t>transient period</w:t>
      </w:r>
      <w:r w:rsidR="00B32F4B">
        <w:rPr>
          <w:sz w:val="20"/>
        </w:rPr>
        <w:t xml:space="preserve"> and </w:t>
      </w:r>
      <w:r w:rsidR="00952A6B">
        <w:rPr>
          <w:sz w:val="20"/>
        </w:rPr>
        <w:t xml:space="preserve">is </w:t>
      </w:r>
      <w:r w:rsidR="00B32F4B">
        <w:rPr>
          <w:sz w:val="20"/>
        </w:rPr>
        <w:t>punctured</w:t>
      </w:r>
      <w:r w:rsidR="005F5803">
        <w:rPr>
          <w:rFonts w:hint="eastAsia"/>
          <w:sz w:val="20"/>
        </w:rPr>
        <w:t>.</w:t>
      </w:r>
      <w:r w:rsidR="00B32F4B">
        <w:rPr>
          <w:sz w:val="20"/>
        </w:rPr>
        <w:t xml:space="preserve"> T</w:t>
      </w:r>
      <w:r w:rsidR="00B32F4B">
        <w:rPr>
          <w:rFonts w:hint="eastAsia"/>
          <w:sz w:val="20"/>
        </w:rPr>
        <w:t xml:space="preserve">he power of S-PSS </w:t>
      </w:r>
      <w:r w:rsidR="00B32F4B">
        <w:rPr>
          <w:sz w:val="20"/>
        </w:rPr>
        <w:t>is</w:t>
      </w:r>
      <w:r w:rsidR="00B32F4B">
        <w:rPr>
          <w:rFonts w:hint="eastAsia"/>
          <w:sz w:val="20"/>
        </w:rPr>
        <w:t xml:space="preserve"> no</w:t>
      </w:r>
      <w:r w:rsidR="00B32F4B">
        <w:rPr>
          <w:sz w:val="20"/>
        </w:rPr>
        <w:t>t</w:t>
      </w:r>
      <w:r w:rsidR="00B32F4B">
        <w:rPr>
          <w:rFonts w:hint="eastAsia"/>
          <w:sz w:val="20"/>
        </w:rPr>
        <w:t xml:space="preserve"> </w:t>
      </w:r>
      <w:r w:rsidR="00B32F4B">
        <w:rPr>
          <w:sz w:val="20"/>
        </w:rPr>
        <w:t>reduced</w:t>
      </w:r>
    </w:p>
    <w:p w:rsidR="00D654D7" w:rsidRPr="00A16E29" w:rsidRDefault="00BD0615" w:rsidP="006C3DF7">
      <w:pPr>
        <w:pStyle w:val="ListParagraph"/>
        <w:numPr>
          <w:ilvl w:val="0"/>
          <w:numId w:val="17"/>
        </w:numPr>
        <w:snapToGrid w:val="0"/>
        <w:spacing w:before="120" w:after="120" w:line="260" w:lineRule="auto"/>
        <w:ind w:rightChars="100" w:right="210"/>
        <w:rPr>
          <w:sz w:val="20"/>
        </w:rPr>
      </w:pPr>
      <w:r w:rsidRPr="00A16E29">
        <w:rPr>
          <w:rFonts w:hint="eastAsia"/>
          <w:sz w:val="20"/>
        </w:rPr>
        <w:t>Case 2</w:t>
      </w:r>
      <w:r w:rsidR="009714A0" w:rsidRPr="00A16E29">
        <w:rPr>
          <w:sz w:val="20"/>
        </w:rPr>
        <w:t xml:space="preserve"> (</w:t>
      </w:r>
      <w:r w:rsidR="009714A0" w:rsidRPr="00A16E29">
        <w:rPr>
          <w:rFonts w:eastAsiaTheme="minorEastAsia"/>
          <w:sz w:val="20"/>
        </w:rPr>
        <w:t xml:space="preserve">w/o a AGC </w:t>
      </w:r>
      <w:r w:rsidR="009714A0" w:rsidRPr="00A16E29">
        <w:rPr>
          <w:rFonts w:hint="eastAsia"/>
          <w:sz w:val="20"/>
        </w:rPr>
        <w:t>transient period</w:t>
      </w:r>
      <w:r w:rsidR="009714A0" w:rsidRPr="00A16E29">
        <w:rPr>
          <w:sz w:val="20"/>
        </w:rPr>
        <w:t>)</w:t>
      </w:r>
      <w:r w:rsidRPr="00A16E29">
        <w:rPr>
          <w:rFonts w:hint="eastAsia"/>
          <w:sz w:val="20"/>
        </w:rPr>
        <w:t xml:space="preserve">: </w:t>
      </w:r>
      <w:r w:rsidR="009714A0" w:rsidRPr="00A16E29">
        <w:rPr>
          <w:sz w:val="20"/>
        </w:rPr>
        <w:t>For MPR values,</w:t>
      </w:r>
      <w:r w:rsidRPr="00A16E29">
        <w:rPr>
          <w:sz w:val="20"/>
        </w:rPr>
        <w:t xml:space="preserve"> S-PSS = 3 dB, S-SSS = 3 dB</w:t>
      </w:r>
      <w:r w:rsidR="009714A0" w:rsidRPr="00A16E29">
        <w:rPr>
          <w:sz w:val="20"/>
        </w:rPr>
        <w:t>.</w:t>
      </w:r>
      <w:r w:rsidR="00B32F4B" w:rsidRPr="00A16E29">
        <w:rPr>
          <w:sz w:val="20"/>
        </w:rPr>
        <w:t xml:space="preserve"> N</w:t>
      </w:r>
      <w:r w:rsidR="00B32F4B" w:rsidRPr="00A16E29">
        <w:rPr>
          <w:rFonts w:hint="eastAsia"/>
          <w:sz w:val="20"/>
        </w:rPr>
        <w:t>o puncturing is needed while the power of S-PSS is reduced.</w:t>
      </w:r>
    </w:p>
    <w:p w:rsidR="00D654D7" w:rsidRDefault="00A16E29" w:rsidP="006C3DF7">
      <w:pPr>
        <w:snapToGrid w:val="0"/>
        <w:spacing w:before="120" w:after="120" w:line="260" w:lineRule="auto"/>
        <w:ind w:rightChars="100" w:right="210"/>
        <w:rPr>
          <w:sz w:val="20"/>
        </w:rPr>
      </w:pPr>
      <w:r>
        <w:rPr>
          <w:sz w:val="20"/>
        </w:rPr>
        <w:t>T</w:t>
      </w:r>
      <w:r w:rsidR="00BD0615">
        <w:rPr>
          <w:rFonts w:hint="eastAsia"/>
          <w:sz w:val="20"/>
        </w:rPr>
        <w:t xml:space="preserve">he simulation results </w:t>
      </w:r>
      <w:r>
        <w:rPr>
          <w:rFonts w:hint="eastAsia"/>
          <w:sz w:val="20"/>
        </w:rPr>
        <w:t>in Fig. 4</w:t>
      </w:r>
      <w:r>
        <w:rPr>
          <w:sz w:val="20"/>
        </w:rPr>
        <w:t xml:space="preserve"> show that</w:t>
      </w:r>
      <w:r w:rsidR="00BD0615">
        <w:rPr>
          <w:rFonts w:hint="eastAsia"/>
          <w:sz w:val="20"/>
        </w:rPr>
        <w:t xml:space="preserve"> the difference of </w:t>
      </w:r>
      <w:r>
        <w:rPr>
          <w:rFonts w:hint="eastAsia"/>
          <w:sz w:val="20"/>
        </w:rPr>
        <w:t xml:space="preserve">S-PSS/S-SSS </w:t>
      </w:r>
      <w:r w:rsidR="00BD0615">
        <w:rPr>
          <w:rFonts w:hint="eastAsia"/>
          <w:sz w:val="20"/>
        </w:rPr>
        <w:t xml:space="preserve">detection probability between </w:t>
      </w:r>
      <w:r>
        <w:rPr>
          <w:sz w:val="20"/>
        </w:rPr>
        <w:t>case 1 and case 2</w:t>
      </w:r>
      <w:r w:rsidR="00BD0615">
        <w:rPr>
          <w:rFonts w:hint="eastAsia"/>
          <w:sz w:val="20"/>
        </w:rPr>
        <w:t xml:space="preserve"> is not obvious. </w:t>
      </w:r>
    </w:p>
    <w:p w:rsidR="00D654D7" w:rsidRDefault="00BD0615" w:rsidP="006C3DF7">
      <w:pPr>
        <w:snapToGrid w:val="0"/>
        <w:spacing w:before="120" w:after="120" w:line="260" w:lineRule="auto"/>
        <w:ind w:rightChars="100" w:right="210"/>
        <w:jc w:val="center"/>
      </w:pPr>
      <w:r>
        <w:rPr>
          <w:noProof/>
        </w:rPr>
        <w:drawing>
          <wp:inline distT="0" distB="0" distL="114300" distR="114300">
            <wp:extent cx="4834255" cy="3625215"/>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6" cstate="print"/>
                    <a:stretch>
                      <a:fillRect/>
                    </a:stretch>
                  </pic:blipFill>
                  <pic:spPr>
                    <a:xfrm>
                      <a:off x="0" y="0"/>
                      <a:ext cx="4834255" cy="3625215"/>
                    </a:xfrm>
                    <a:prstGeom prst="rect">
                      <a:avLst/>
                    </a:prstGeom>
                    <a:noFill/>
                    <a:ln w="9525">
                      <a:noFill/>
                    </a:ln>
                  </pic:spPr>
                </pic:pic>
              </a:graphicData>
            </a:graphic>
          </wp:inline>
        </w:drawing>
      </w:r>
    </w:p>
    <w:p w:rsidR="00D654D7" w:rsidRDefault="00BD0615" w:rsidP="006C3DF7">
      <w:pPr>
        <w:snapToGrid w:val="0"/>
        <w:spacing w:before="120" w:after="120" w:line="260" w:lineRule="auto"/>
        <w:ind w:rightChars="100" w:right="210"/>
        <w:jc w:val="center"/>
        <w:rPr>
          <w:sz w:val="20"/>
        </w:rPr>
      </w:pPr>
      <w:r>
        <w:rPr>
          <w:rFonts w:eastAsiaTheme="minorEastAsia" w:hint="eastAsia"/>
          <w:sz w:val="20"/>
        </w:rPr>
        <w:t>Fig. 4 Simulation results of S-PSS/S-SSS detection probability</w:t>
      </w:r>
    </w:p>
    <w:p w:rsidR="00D654D7" w:rsidRDefault="0044742C" w:rsidP="006C3DF7">
      <w:pPr>
        <w:snapToGrid w:val="0"/>
        <w:spacing w:before="120" w:after="120" w:line="260" w:lineRule="auto"/>
        <w:ind w:rightChars="100" w:right="210"/>
        <w:rPr>
          <w:sz w:val="20"/>
        </w:rPr>
      </w:pPr>
      <w:r>
        <w:rPr>
          <w:rFonts w:hint="eastAsia"/>
          <w:sz w:val="20"/>
        </w:rPr>
        <w:t xml:space="preserve">If </w:t>
      </w:r>
      <w:r w:rsidR="00BD0615">
        <w:rPr>
          <w:rFonts w:hint="eastAsia"/>
          <w:sz w:val="20"/>
        </w:rPr>
        <w:t xml:space="preserve">S-SSB </w:t>
      </w:r>
      <w:r>
        <w:rPr>
          <w:sz w:val="20"/>
        </w:rPr>
        <w:t xml:space="preserve">structure is </w:t>
      </w:r>
      <w:r w:rsidR="00BD0615">
        <w:rPr>
          <w:rFonts w:hint="eastAsia"/>
          <w:sz w:val="20"/>
        </w:rPr>
        <w:t xml:space="preserve">based on case 1, another </w:t>
      </w:r>
      <w:r>
        <w:rPr>
          <w:sz w:val="20"/>
        </w:rPr>
        <w:t xml:space="preserve">punctured </w:t>
      </w:r>
      <w:r>
        <w:rPr>
          <w:rFonts w:hint="eastAsia"/>
          <w:sz w:val="20"/>
        </w:rPr>
        <w:t xml:space="preserve">PSBCH symbol </w:t>
      </w:r>
      <w:r w:rsidR="00BD0615">
        <w:rPr>
          <w:rFonts w:hint="eastAsia"/>
          <w:sz w:val="20"/>
        </w:rPr>
        <w:t xml:space="preserve">would be needed for transient period between PSBCH </w:t>
      </w:r>
      <w:r>
        <w:rPr>
          <w:rFonts w:hint="eastAsia"/>
          <w:sz w:val="20"/>
        </w:rPr>
        <w:t xml:space="preserve">and </w:t>
      </w:r>
      <w:r w:rsidR="00BD0615">
        <w:rPr>
          <w:rFonts w:hint="eastAsia"/>
          <w:sz w:val="20"/>
        </w:rPr>
        <w:t xml:space="preserve">S-PSS. </w:t>
      </w:r>
      <w:r>
        <w:rPr>
          <w:sz w:val="20"/>
        </w:rPr>
        <w:t>With the assumption of</w:t>
      </w:r>
      <w:r>
        <w:rPr>
          <w:rFonts w:hint="eastAsia"/>
          <w:sz w:val="20"/>
        </w:rPr>
        <w:t xml:space="preserve"> total 6 symbols for PSBCH</w:t>
      </w:r>
      <w:r>
        <w:rPr>
          <w:sz w:val="20"/>
        </w:rPr>
        <w:t>,</w:t>
      </w:r>
      <w:r w:rsidR="00BD0615">
        <w:rPr>
          <w:rFonts w:hint="eastAsia"/>
          <w:sz w:val="20"/>
        </w:rPr>
        <w:t xml:space="preserve"> t</w:t>
      </w:r>
      <w:r>
        <w:rPr>
          <w:rFonts w:hint="eastAsia"/>
          <w:sz w:val="20"/>
        </w:rPr>
        <w:t>he simulation results</w:t>
      </w:r>
      <w:r>
        <w:rPr>
          <w:sz w:val="20"/>
        </w:rPr>
        <w:t xml:space="preserve"> </w:t>
      </w:r>
      <w:r>
        <w:rPr>
          <w:rFonts w:hint="eastAsia"/>
          <w:sz w:val="20"/>
        </w:rPr>
        <w:t>in Fig. 5</w:t>
      </w:r>
      <w:r>
        <w:rPr>
          <w:sz w:val="20"/>
        </w:rPr>
        <w:t xml:space="preserve"> show that</w:t>
      </w:r>
      <w:r>
        <w:rPr>
          <w:rFonts w:hint="eastAsia"/>
          <w:sz w:val="20"/>
        </w:rPr>
        <w:t xml:space="preserve"> </w:t>
      </w:r>
      <w:r w:rsidR="00660851">
        <w:rPr>
          <w:sz w:val="20"/>
        </w:rPr>
        <w:t>every symbol puncturing</w:t>
      </w:r>
      <w:r w:rsidR="00660851">
        <w:rPr>
          <w:rFonts w:hint="eastAsia"/>
          <w:sz w:val="20"/>
        </w:rPr>
        <w:t xml:space="preserve"> </w:t>
      </w:r>
      <w:r w:rsidR="00660851">
        <w:rPr>
          <w:sz w:val="20"/>
        </w:rPr>
        <w:t xml:space="preserve">clearly </w:t>
      </w:r>
      <w:r w:rsidR="00BD0615">
        <w:rPr>
          <w:rFonts w:hint="eastAsia"/>
          <w:sz w:val="20"/>
        </w:rPr>
        <w:t>impact</w:t>
      </w:r>
      <w:r w:rsidR="00660851">
        <w:rPr>
          <w:sz w:val="20"/>
        </w:rPr>
        <w:t>s</w:t>
      </w:r>
      <w:r w:rsidR="00660851">
        <w:rPr>
          <w:rFonts w:hint="eastAsia"/>
          <w:sz w:val="20"/>
        </w:rPr>
        <w:t xml:space="preserve"> the </w:t>
      </w:r>
      <w:r w:rsidR="00660851">
        <w:rPr>
          <w:sz w:val="20"/>
        </w:rPr>
        <w:t>PSBCH</w:t>
      </w:r>
      <w:r w:rsidR="00BD0615">
        <w:rPr>
          <w:rFonts w:hint="eastAsia"/>
          <w:sz w:val="20"/>
        </w:rPr>
        <w:t xml:space="preserve"> </w:t>
      </w:r>
      <w:r w:rsidR="00660851">
        <w:rPr>
          <w:sz w:val="20"/>
        </w:rPr>
        <w:t xml:space="preserve">decoding </w:t>
      </w:r>
      <w:r w:rsidR="00660851">
        <w:rPr>
          <w:rFonts w:hint="eastAsia"/>
          <w:sz w:val="20"/>
        </w:rPr>
        <w:t>performance</w:t>
      </w:r>
      <w:r w:rsidR="00BD0615">
        <w:rPr>
          <w:rFonts w:hint="eastAsia"/>
          <w:sz w:val="20"/>
        </w:rPr>
        <w:t xml:space="preserve">. </w:t>
      </w:r>
    </w:p>
    <w:p w:rsidR="00CA33EA" w:rsidRDefault="00CA33EA" w:rsidP="00CA33EA">
      <w:pPr>
        <w:snapToGrid w:val="0"/>
        <w:spacing w:before="120" w:after="120" w:line="260" w:lineRule="auto"/>
        <w:ind w:rightChars="100" w:right="210"/>
        <w:rPr>
          <w:sz w:val="20"/>
        </w:rPr>
      </w:pPr>
      <w:r>
        <w:rPr>
          <w:rFonts w:hint="eastAsia"/>
          <w:sz w:val="20"/>
        </w:rPr>
        <w:t xml:space="preserve">Based on the </w:t>
      </w:r>
      <w:r>
        <w:rPr>
          <w:sz w:val="20"/>
        </w:rPr>
        <w:t xml:space="preserve">above </w:t>
      </w:r>
      <w:r>
        <w:rPr>
          <w:rFonts w:hint="eastAsia"/>
          <w:sz w:val="20"/>
        </w:rPr>
        <w:t xml:space="preserve">simulation results, </w:t>
      </w:r>
      <w:r>
        <w:rPr>
          <w:sz w:val="20"/>
        </w:rPr>
        <w:t>i</w:t>
      </w:r>
      <w:r>
        <w:rPr>
          <w:rFonts w:hint="eastAsia"/>
          <w:sz w:val="20"/>
        </w:rPr>
        <w:t xml:space="preserve">t makes sense to </w:t>
      </w:r>
      <w:r>
        <w:rPr>
          <w:rFonts w:eastAsiaTheme="minorEastAsia" w:hint="eastAsia"/>
          <w:sz w:val="20"/>
          <w:szCs w:val="22"/>
        </w:rPr>
        <w:t>a</w:t>
      </w:r>
      <w:r w:rsidR="005C2DA2">
        <w:rPr>
          <w:rFonts w:eastAsiaTheme="minorEastAsia" w:hint="eastAsia"/>
          <w:sz w:val="20"/>
          <w:szCs w:val="22"/>
        </w:rPr>
        <w:t xml:space="preserve">pply the </w:t>
      </w:r>
      <w:r w:rsidR="005C2DA2">
        <w:rPr>
          <w:rFonts w:eastAsiaTheme="minorEastAsia"/>
          <w:sz w:val="20"/>
          <w:szCs w:val="22"/>
        </w:rPr>
        <w:t>same</w:t>
      </w:r>
      <w:r>
        <w:rPr>
          <w:rFonts w:eastAsiaTheme="minorEastAsia" w:hint="eastAsia"/>
          <w:sz w:val="20"/>
          <w:szCs w:val="22"/>
        </w:rPr>
        <w:t xml:space="preserve"> MPR value for both S-PSS and S-SSS/PSBCH so that </w:t>
      </w:r>
      <w:r w:rsidR="00660851">
        <w:rPr>
          <w:rFonts w:eastAsiaTheme="minorEastAsia"/>
          <w:sz w:val="20"/>
          <w:szCs w:val="22"/>
        </w:rPr>
        <w:t xml:space="preserve">no </w:t>
      </w:r>
      <w:r w:rsidR="00660851">
        <w:rPr>
          <w:rFonts w:eastAsiaTheme="minorEastAsia" w:hint="eastAsia"/>
          <w:sz w:val="20"/>
          <w:szCs w:val="22"/>
        </w:rPr>
        <w:t xml:space="preserve">additional symbol </w:t>
      </w:r>
      <w:r w:rsidR="00660851">
        <w:rPr>
          <w:rFonts w:eastAsiaTheme="minorEastAsia"/>
          <w:sz w:val="20"/>
          <w:szCs w:val="22"/>
        </w:rPr>
        <w:t>is</w:t>
      </w:r>
      <w:r>
        <w:rPr>
          <w:rFonts w:eastAsiaTheme="minorEastAsia" w:hint="eastAsia"/>
          <w:sz w:val="20"/>
          <w:szCs w:val="22"/>
        </w:rPr>
        <w:t xml:space="preserve"> punctured </w:t>
      </w:r>
      <w:r w:rsidR="00660851">
        <w:rPr>
          <w:rFonts w:eastAsiaTheme="minorEastAsia"/>
          <w:sz w:val="20"/>
          <w:szCs w:val="22"/>
        </w:rPr>
        <w:t>for</w:t>
      </w:r>
      <w:r>
        <w:rPr>
          <w:rFonts w:eastAsiaTheme="minorEastAsia" w:hint="eastAsia"/>
          <w:sz w:val="20"/>
          <w:szCs w:val="22"/>
        </w:rPr>
        <w:t xml:space="preserve"> </w:t>
      </w:r>
      <w:r w:rsidR="00660851">
        <w:rPr>
          <w:rFonts w:eastAsiaTheme="minorEastAsia"/>
          <w:sz w:val="20"/>
          <w:szCs w:val="22"/>
        </w:rPr>
        <w:t xml:space="preserve">AGC </w:t>
      </w:r>
      <w:r w:rsidR="00660851">
        <w:rPr>
          <w:rFonts w:eastAsiaTheme="minorEastAsia" w:hint="eastAsia"/>
          <w:sz w:val="20"/>
          <w:szCs w:val="22"/>
        </w:rPr>
        <w:t xml:space="preserve">transient </w:t>
      </w:r>
      <w:r w:rsidR="00660851">
        <w:rPr>
          <w:rFonts w:eastAsiaTheme="minorEastAsia"/>
          <w:sz w:val="20"/>
          <w:szCs w:val="22"/>
        </w:rPr>
        <w:t>purpose</w:t>
      </w:r>
      <w:r>
        <w:rPr>
          <w:rFonts w:eastAsiaTheme="minorEastAsia" w:hint="eastAsia"/>
          <w:sz w:val="20"/>
          <w:szCs w:val="22"/>
        </w:rPr>
        <w:t>.</w:t>
      </w:r>
    </w:p>
    <w:p w:rsidR="00CA33EA" w:rsidRDefault="00CA33EA" w:rsidP="006C3DF7">
      <w:pPr>
        <w:snapToGrid w:val="0"/>
        <w:spacing w:before="120" w:after="120" w:line="260" w:lineRule="auto"/>
        <w:ind w:rightChars="100" w:right="210"/>
        <w:rPr>
          <w:sz w:val="20"/>
        </w:rPr>
      </w:pPr>
    </w:p>
    <w:p w:rsidR="00D654D7" w:rsidRDefault="00BD0615" w:rsidP="006C3DF7">
      <w:pPr>
        <w:snapToGrid w:val="0"/>
        <w:spacing w:before="120" w:after="120" w:line="260" w:lineRule="auto"/>
        <w:ind w:rightChars="100" w:right="210"/>
        <w:jc w:val="center"/>
      </w:pPr>
      <w:r>
        <w:rPr>
          <w:noProof/>
        </w:rPr>
        <w:lastRenderedPageBreak/>
        <w:drawing>
          <wp:inline distT="0" distB="0" distL="114300" distR="114300">
            <wp:extent cx="4668520" cy="35013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stretch>
                      <a:fillRect/>
                    </a:stretch>
                  </pic:blipFill>
                  <pic:spPr>
                    <a:xfrm>
                      <a:off x="0" y="0"/>
                      <a:ext cx="4668520" cy="3501390"/>
                    </a:xfrm>
                    <a:prstGeom prst="rect">
                      <a:avLst/>
                    </a:prstGeom>
                    <a:noFill/>
                    <a:ln w="9525">
                      <a:noFill/>
                    </a:ln>
                  </pic:spPr>
                </pic:pic>
              </a:graphicData>
            </a:graphic>
          </wp:inline>
        </w:drawing>
      </w:r>
    </w:p>
    <w:p w:rsidR="00D654D7" w:rsidRDefault="00BD0615" w:rsidP="006C3DF7">
      <w:pPr>
        <w:snapToGrid w:val="0"/>
        <w:spacing w:before="120" w:after="120" w:line="260" w:lineRule="auto"/>
        <w:ind w:rightChars="100" w:right="210"/>
        <w:jc w:val="center"/>
        <w:rPr>
          <w:sz w:val="20"/>
        </w:rPr>
      </w:pPr>
      <w:r>
        <w:rPr>
          <w:rFonts w:hint="eastAsia"/>
          <w:sz w:val="20"/>
        </w:rPr>
        <w:t>Fig. 5 Simulation results of PSBCH decoding error</w:t>
      </w:r>
    </w:p>
    <w:p w:rsidR="00D654D7" w:rsidRDefault="00BD0615" w:rsidP="006C3DF7">
      <w:pPr>
        <w:snapToGrid w:val="0"/>
        <w:spacing w:before="120" w:after="120" w:line="260" w:lineRule="auto"/>
        <w:ind w:rightChars="100" w:right="210"/>
        <w:rPr>
          <w:sz w:val="20"/>
        </w:rPr>
      </w:pPr>
      <w:r>
        <w:rPr>
          <w:rFonts w:hint="eastAsia"/>
          <w:sz w:val="20"/>
        </w:rPr>
        <w:t xml:space="preserve">The proposed S-SSB structure is shown in Fig. 6. </w:t>
      </w:r>
      <w:r w:rsidR="00245398">
        <w:rPr>
          <w:sz w:val="20"/>
        </w:rPr>
        <w:t xml:space="preserve">The structure starts with N PSBCH symbols, where 1≤N≤6. </w:t>
      </w:r>
      <w:r>
        <w:rPr>
          <w:rFonts w:hint="eastAsia"/>
          <w:sz w:val="20"/>
        </w:rPr>
        <w:t>Two symbols for each of S-PSS and S-SSS are consecutive f</w:t>
      </w:r>
      <w:r w:rsidR="00F912BF">
        <w:rPr>
          <w:rFonts w:hint="eastAsia"/>
          <w:sz w:val="20"/>
        </w:rPr>
        <w:t>or better detection performance</w:t>
      </w:r>
      <w:r>
        <w:rPr>
          <w:rFonts w:hint="eastAsia"/>
          <w:sz w:val="20"/>
        </w:rPr>
        <w:t>.</w:t>
      </w:r>
    </w:p>
    <w:p w:rsidR="00D654D7" w:rsidRDefault="00D654D7" w:rsidP="006C3DF7">
      <w:pPr>
        <w:snapToGrid w:val="0"/>
        <w:spacing w:before="120" w:after="120" w:line="260" w:lineRule="auto"/>
        <w:ind w:rightChars="100" w:right="210"/>
        <w:jc w:val="center"/>
      </w:pPr>
      <w:r>
        <w:object w:dxaOrig="5371" w:dyaOrig="1674">
          <v:shape id="_x0000_i1028" type="#_x0000_t75" style="width:286.1pt;height:74.5pt" o:ole="">
            <v:imagedata r:id="rId18" o:title=""/>
          </v:shape>
          <o:OLEObject Type="Embed" ProgID="Visio.Drawing.11" ShapeID="_x0000_i1028" DrawAspect="Content" ObjectID="_1627494890" r:id="rId19"/>
        </w:object>
      </w:r>
    </w:p>
    <w:p w:rsidR="00D654D7" w:rsidRDefault="00BD0615" w:rsidP="006C3DF7">
      <w:pPr>
        <w:snapToGrid w:val="0"/>
        <w:spacing w:before="120" w:after="120" w:line="260" w:lineRule="auto"/>
        <w:ind w:rightChars="100" w:right="210"/>
        <w:jc w:val="center"/>
        <w:rPr>
          <w:sz w:val="20"/>
        </w:rPr>
      </w:pPr>
      <w:r>
        <w:rPr>
          <w:rFonts w:hint="eastAsia"/>
          <w:sz w:val="20"/>
        </w:rPr>
        <w:t xml:space="preserve">Fig. 6 Proposed S-SSB </w:t>
      </w:r>
      <w:r>
        <w:rPr>
          <w:rFonts w:eastAsia="DengXian" w:hint="eastAsia"/>
          <w:sz w:val="20"/>
        </w:rPr>
        <w:t xml:space="preserve">structure </w:t>
      </w:r>
    </w:p>
    <w:p w:rsidR="00D654D7" w:rsidRDefault="005D28C0" w:rsidP="006C3DF7">
      <w:pPr>
        <w:pStyle w:val="YJ-Proposal"/>
        <w:spacing w:before="120" w:after="120"/>
        <w:rPr>
          <w:szCs w:val="22"/>
          <w:lang w:val="en-US" w:eastAsia="zh-CN"/>
        </w:rPr>
      </w:pPr>
      <w:bookmarkStart w:id="7" w:name="_Toc16881437"/>
      <w:r>
        <w:rPr>
          <w:rFonts w:hint="eastAsia"/>
          <w:szCs w:val="22"/>
          <w:lang w:val="en-US" w:eastAsia="zh-CN"/>
        </w:rPr>
        <w:t xml:space="preserve">The S-SSB </w:t>
      </w:r>
      <w:r>
        <w:rPr>
          <w:szCs w:val="22"/>
          <w:lang w:val="en-US" w:eastAsia="zh-CN"/>
        </w:rPr>
        <w:t>structure</w:t>
      </w:r>
      <w:r w:rsidR="00BD0615">
        <w:rPr>
          <w:rFonts w:hint="eastAsia"/>
          <w:szCs w:val="22"/>
          <w:lang w:val="en-US" w:eastAsia="zh-CN"/>
        </w:rPr>
        <w:t xml:space="preserve"> per symbol level is {</w:t>
      </w:r>
      <w:r w:rsidR="00F912BF">
        <w:rPr>
          <w:szCs w:val="22"/>
          <w:lang w:val="en-US" w:eastAsia="zh-CN"/>
        </w:rPr>
        <w:t xml:space="preserve">N-symbol </w:t>
      </w:r>
      <w:r w:rsidR="00BD0615">
        <w:rPr>
          <w:rFonts w:hint="eastAsia"/>
          <w:szCs w:val="22"/>
          <w:lang w:val="en-US" w:eastAsia="zh-CN"/>
        </w:rPr>
        <w:t xml:space="preserve">PSBCH, </w:t>
      </w:r>
      <w:r w:rsidR="00F912BF">
        <w:rPr>
          <w:szCs w:val="22"/>
          <w:lang w:val="en-US" w:eastAsia="zh-CN"/>
        </w:rPr>
        <w:t xml:space="preserve">2-symbol </w:t>
      </w:r>
      <w:r w:rsidR="00F912BF">
        <w:rPr>
          <w:rFonts w:hint="eastAsia"/>
          <w:szCs w:val="22"/>
          <w:lang w:val="en-US" w:eastAsia="zh-CN"/>
        </w:rPr>
        <w:t>S-PSS</w:t>
      </w:r>
      <w:r w:rsidR="00BD0615">
        <w:rPr>
          <w:rFonts w:hint="eastAsia"/>
          <w:szCs w:val="22"/>
          <w:lang w:val="en-US" w:eastAsia="zh-CN"/>
        </w:rPr>
        <w:t xml:space="preserve">, </w:t>
      </w:r>
      <w:r w:rsidR="00F912BF">
        <w:rPr>
          <w:szCs w:val="22"/>
          <w:lang w:val="en-US" w:eastAsia="zh-CN"/>
        </w:rPr>
        <w:t xml:space="preserve">(6-N)-symbol </w:t>
      </w:r>
      <w:r w:rsidR="00BD0615">
        <w:rPr>
          <w:rFonts w:hint="eastAsia"/>
          <w:szCs w:val="22"/>
          <w:lang w:val="en-US" w:eastAsia="zh-CN"/>
        </w:rPr>
        <w:t xml:space="preserve">PSBCH, </w:t>
      </w:r>
      <w:r w:rsidR="00F912BF">
        <w:rPr>
          <w:szCs w:val="22"/>
          <w:lang w:val="en-US" w:eastAsia="zh-CN"/>
        </w:rPr>
        <w:t xml:space="preserve">2-symbol </w:t>
      </w:r>
      <w:r w:rsidR="00F912BF">
        <w:rPr>
          <w:rFonts w:hint="eastAsia"/>
          <w:szCs w:val="22"/>
          <w:lang w:val="en-US" w:eastAsia="zh-CN"/>
        </w:rPr>
        <w:t>S-</w:t>
      </w:r>
      <w:r w:rsidR="00F912BF">
        <w:rPr>
          <w:szCs w:val="22"/>
          <w:lang w:val="en-US" w:eastAsia="zh-CN"/>
        </w:rPr>
        <w:t>S</w:t>
      </w:r>
      <w:r w:rsidR="00F912BF">
        <w:rPr>
          <w:rFonts w:hint="eastAsia"/>
          <w:szCs w:val="22"/>
          <w:lang w:val="en-US" w:eastAsia="zh-CN"/>
        </w:rPr>
        <w:t>SS</w:t>
      </w:r>
      <w:r w:rsidR="00F912BF">
        <w:rPr>
          <w:szCs w:val="22"/>
          <w:lang w:val="en-US" w:eastAsia="zh-CN"/>
        </w:rPr>
        <w:t>,</w:t>
      </w:r>
      <w:r w:rsidR="00F912BF">
        <w:rPr>
          <w:rFonts w:hint="eastAsia"/>
          <w:szCs w:val="22"/>
          <w:lang w:val="en-US" w:eastAsia="zh-CN"/>
        </w:rPr>
        <w:t xml:space="preserve"> </w:t>
      </w:r>
      <w:r w:rsidR="00BD0615">
        <w:rPr>
          <w:rFonts w:hint="eastAsia"/>
          <w:szCs w:val="22"/>
          <w:lang w:val="en-US" w:eastAsia="zh-CN"/>
        </w:rPr>
        <w:t>Gap}</w:t>
      </w:r>
      <w:r w:rsidR="00F912BF">
        <w:rPr>
          <w:szCs w:val="22"/>
          <w:lang w:val="en-US" w:eastAsia="zh-CN"/>
        </w:rPr>
        <w:t xml:space="preserve">, where </w:t>
      </w:r>
      <w:r w:rsidR="00F912BF">
        <w:t>1≤N≤6</w:t>
      </w:r>
      <w:r w:rsidR="00BD0615">
        <w:rPr>
          <w:rFonts w:hint="eastAsia"/>
          <w:szCs w:val="22"/>
          <w:lang w:val="en-US" w:eastAsia="zh-CN"/>
        </w:rPr>
        <w:t>.</w:t>
      </w:r>
      <w:bookmarkEnd w:id="7"/>
    </w:p>
    <w:p w:rsidR="00F912BF" w:rsidRDefault="00F912BF" w:rsidP="00F912BF">
      <w:pPr>
        <w:pStyle w:val="YJ-Proposal"/>
        <w:numPr>
          <w:ilvl w:val="0"/>
          <w:numId w:val="18"/>
        </w:numPr>
        <w:tabs>
          <w:tab w:val="left" w:pos="1080"/>
        </w:tabs>
        <w:spacing w:before="120" w:after="120"/>
        <w:ind w:left="1080"/>
        <w:rPr>
          <w:szCs w:val="22"/>
          <w:lang w:val="en-US" w:eastAsia="zh-CN"/>
        </w:rPr>
      </w:pPr>
      <w:bookmarkStart w:id="8" w:name="_Toc16881438"/>
      <w:r>
        <w:rPr>
          <w:szCs w:val="22"/>
          <w:lang w:val="en-US" w:eastAsia="zh-CN"/>
        </w:rPr>
        <w:t>S-PSS and S-SSS/PSBCH have the same MPR.</w:t>
      </w:r>
      <w:bookmarkEnd w:id="8"/>
      <w:r>
        <w:rPr>
          <w:szCs w:val="22"/>
          <w:lang w:val="en-US" w:eastAsia="zh-CN"/>
        </w:rPr>
        <w:t xml:space="preserve"> </w:t>
      </w:r>
    </w:p>
    <w:p w:rsidR="00D654D7" w:rsidRDefault="00D654D7" w:rsidP="006C3DF7">
      <w:pPr>
        <w:adjustRightInd w:val="0"/>
        <w:snapToGrid w:val="0"/>
        <w:spacing w:before="120" w:after="120" w:line="260" w:lineRule="auto"/>
        <w:rPr>
          <w:i/>
          <w:iCs/>
          <w:sz w:val="24"/>
          <w:szCs w:val="24"/>
          <w:u w:val="single"/>
        </w:rPr>
      </w:pPr>
    </w:p>
    <w:p w:rsidR="00D654D7" w:rsidRDefault="00BD0615" w:rsidP="006C3DF7">
      <w:pPr>
        <w:pStyle w:val="Heading3"/>
        <w:spacing w:after="120"/>
        <w:ind w:right="210"/>
        <w:rPr>
          <w:szCs w:val="24"/>
        </w:rPr>
      </w:pPr>
      <w:r>
        <w:rPr>
          <w:rFonts w:hint="eastAsia"/>
          <w:szCs w:val="24"/>
        </w:rPr>
        <w:t>Synchronization resource</w:t>
      </w:r>
    </w:p>
    <w:p w:rsidR="00D654D7" w:rsidRDefault="00BD0615" w:rsidP="006C3DF7">
      <w:pPr>
        <w:snapToGrid w:val="0"/>
        <w:spacing w:before="120" w:after="120" w:line="260" w:lineRule="auto"/>
        <w:rPr>
          <w:sz w:val="20"/>
        </w:rPr>
      </w:pPr>
      <w:r>
        <w:rPr>
          <w:sz w:val="20"/>
        </w:rPr>
        <w:t>In LTE V2X, one synchronization resource is configured in a synchronization resource period for in-coverage UEs to transmit SLSS/PSBCH. For ou</w:t>
      </w:r>
      <w:r>
        <w:rPr>
          <w:rFonts w:hint="eastAsia"/>
          <w:sz w:val="20"/>
        </w:rPr>
        <w:t>t</w:t>
      </w:r>
      <w:r>
        <w:rPr>
          <w:sz w:val="20"/>
        </w:rPr>
        <w:t xml:space="preserve">-of-coverage UEs, two or three synchronization resources are </w:t>
      </w:r>
      <w:r>
        <w:rPr>
          <w:rFonts w:hint="eastAsia"/>
          <w:sz w:val="20"/>
        </w:rPr>
        <w:t>used</w:t>
      </w:r>
      <w:r>
        <w:rPr>
          <w:sz w:val="20"/>
        </w:rPr>
        <w:t xml:space="preserve"> for </w:t>
      </w:r>
      <w:r>
        <w:rPr>
          <w:rFonts w:hint="eastAsia"/>
          <w:sz w:val="20"/>
        </w:rPr>
        <w:t>SLSS/PSBCH</w:t>
      </w:r>
      <w:r>
        <w:rPr>
          <w:sz w:val="20"/>
        </w:rPr>
        <w:t xml:space="preserve">. </w:t>
      </w:r>
      <w:r>
        <w:rPr>
          <w:rFonts w:hint="eastAsia"/>
          <w:sz w:val="20"/>
        </w:rPr>
        <w:t xml:space="preserve">If three sync resources are configured, </w:t>
      </w:r>
      <w:r>
        <w:rPr>
          <w:sz w:val="20"/>
        </w:rPr>
        <w:t>the third synchronization resource is used to identify special synchronization source, i.e., GNSS. For NR V2X, the same philosophy may still exist</w:t>
      </w:r>
      <w:r>
        <w:rPr>
          <w:rFonts w:hint="eastAsia"/>
          <w:sz w:val="20"/>
        </w:rPr>
        <w:t>.</w:t>
      </w:r>
      <w:r>
        <w:rPr>
          <w:sz w:val="20"/>
        </w:rPr>
        <w:t xml:space="preserve"> </w:t>
      </w:r>
      <w:r>
        <w:rPr>
          <w:rFonts w:hint="eastAsia"/>
          <w:sz w:val="20"/>
        </w:rPr>
        <w:t>The difference is</w:t>
      </w:r>
      <w:r>
        <w:rPr>
          <w:sz w:val="20"/>
        </w:rPr>
        <w:t xml:space="preserve"> that</w:t>
      </w:r>
      <w:r>
        <w:rPr>
          <w:rFonts w:hint="eastAsia"/>
          <w:sz w:val="20"/>
        </w:rPr>
        <w:t xml:space="preserve"> a set of resources should be </w:t>
      </w:r>
      <w:r>
        <w:rPr>
          <w:rFonts w:hint="eastAsia"/>
          <w:sz w:val="20"/>
        </w:rPr>
        <w:lastRenderedPageBreak/>
        <w:t>considered because of beam sweeping upon S-SSB. From the purpose of simplicity, two sets of</w:t>
      </w:r>
      <w:r>
        <w:rPr>
          <w:sz w:val="20"/>
        </w:rPr>
        <w:t xml:space="preserve"> synchronization resource</w:t>
      </w:r>
      <w:r>
        <w:rPr>
          <w:rFonts w:hint="eastAsia"/>
          <w:sz w:val="20"/>
        </w:rPr>
        <w:t xml:space="preserve"> with TDM can be (pre-)configured</w:t>
      </w:r>
      <w:r>
        <w:rPr>
          <w:sz w:val="20"/>
        </w:rPr>
        <w:t xml:space="preserve"> in a synchronization resource period</w:t>
      </w:r>
      <w:r>
        <w:rPr>
          <w:rFonts w:hint="eastAsia"/>
          <w:sz w:val="20"/>
        </w:rPr>
        <w:t>, as shown in Figure 7</w:t>
      </w:r>
      <w:r>
        <w:rPr>
          <w:sz w:val="20"/>
        </w:rPr>
        <w:t>.</w:t>
      </w:r>
      <w:r>
        <w:rPr>
          <w:rFonts w:hint="eastAsia"/>
          <w:sz w:val="20"/>
        </w:rPr>
        <w:t xml:space="preserve"> In each set, multiple synchronization resources are included based on a pattern. Different sets of </w:t>
      </w:r>
      <w:r>
        <w:rPr>
          <w:sz w:val="20"/>
        </w:rPr>
        <w:t>synchronization resource</w:t>
      </w:r>
      <w:r>
        <w:rPr>
          <w:rFonts w:hint="eastAsia"/>
          <w:sz w:val="20"/>
        </w:rPr>
        <w:t xml:space="preserve"> are used to transmit S-SSB and detect S-SSB. Multiple candidate S-SSB transmission resources are included in a set to support beam sweeping for S-SSB transmission.</w:t>
      </w:r>
    </w:p>
    <w:p w:rsidR="00D654D7" w:rsidRDefault="00D654D7" w:rsidP="006C3DF7">
      <w:pPr>
        <w:spacing w:before="120" w:after="120"/>
        <w:jc w:val="center"/>
      </w:pPr>
      <w:r>
        <w:object w:dxaOrig="7953" w:dyaOrig="1749">
          <v:shape id="_x0000_i1029" type="#_x0000_t75" style="width:348.1pt;height:64.5pt" o:ole="">
            <v:imagedata r:id="rId20" o:title=""/>
          </v:shape>
          <o:OLEObject Type="Embed" ProgID="Visio.Drawing.11" ShapeID="_x0000_i1029" DrawAspect="Content" ObjectID="_1627494891" r:id="rId21"/>
        </w:object>
      </w:r>
    </w:p>
    <w:p w:rsidR="00D654D7" w:rsidRDefault="00BD0615" w:rsidP="006C3DF7">
      <w:pPr>
        <w:adjustRightInd w:val="0"/>
        <w:snapToGrid w:val="0"/>
        <w:spacing w:before="120" w:after="120" w:line="260" w:lineRule="auto"/>
        <w:jc w:val="center"/>
      </w:pPr>
      <w:r>
        <w:rPr>
          <w:rFonts w:hint="eastAsia"/>
        </w:rPr>
        <w:t xml:space="preserve">Fig.7 </w:t>
      </w:r>
      <w:r>
        <w:rPr>
          <w:rFonts w:eastAsia="DengXian" w:hint="eastAsia"/>
          <w:sz w:val="20"/>
        </w:rPr>
        <w:t xml:space="preserve">Synchronization </w:t>
      </w:r>
      <w:r>
        <w:rPr>
          <w:rFonts w:hint="eastAsia"/>
        </w:rPr>
        <w:t>resource location</w:t>
      </w:r>
    </w:p>
    <w:p w:rsidR="00D654D7" w:rsidRDefault="00BD0615" w:rsidP="006C3DF7">
      <w:pPr>
        <w:pStyle w:val="YJ-Proposal"/>
        <w:adjustRightInd w:val="0"/>
        <w:snapToGrid w:val="0"/>
        <w:spacing w:before="120" w:after="120" w:line="260" w:lineRule="auto"/>
      </w:pPr>
      <w:bookmarkStart w:id="9" w:name="_Toc7474992"/>
      <w:bookmarkStart w:id="10" w:name="_Toc16881439"/>
      <w:r>
        <w:rPr>
          <w:rFonts w:hint="eastAsia"/>
          <w:szCs w:val="22"/>
          <w:lang w:val="en-US" w:eastAsia="zh-CN"/>
        </w:rPr>
        <w:t xml:space="preserve">Two </w:t>
      </w:r>
      <w:r>
        <w:rPr>
          <w:rFonts w:eastAsia="宋体"/>
          <w:lang w:val="en-US" w:eastAsia="zh-CN"/>
        </w:rPr>
        <w:t xml:space="preserve">sets of </w:t>
      </w:r>
      <w:r>
        <w:rPr>
          <w:rFonts w:eastAsia="宋体" w:hint="eastAsia"/>
          <w:lang w:val="en-US" w:eastAsia="zh-CN"/>
        </w:rPr>
        <w:t xml:space="preserve">candidate </w:t>
      </w:r>
      <w:r>
        <w:rPr>
          <w:rFonts w:eastAsia="宋体"/>
          <w:lang w:val="en-US" w:eastAsia="zh-CN"/>
        </w:rPr>
        <w:t xml:space="preserve">synchronization resources </w:t>
      </w:r>
      <w:r>
        <w:rPr>
          <w:rFonts w:eastAsia="宋体" w:hint="eastAsia"/>
          <w:lang w:val="en-US" w:eastAsia="zh-CN"/>
        </w:rPr>
        <w:t xml:space="preserve">with TDM </w:t>
      </w:r>
      <w:r>
        <w:rPr>
          <w:rFonts w:eastAsia="宋体"/>
          <w:lang w:val="en-US" w:eastAsia="zh-CN"/>
        </w:rPr>
        <w:t xml:space="preserve">in a synchronization resource period should be </w:t>
      </w:r>
      <w:r>
        <w:rPr>
          <w:rFonts w:eastAsia="宋体" w:hint="eastAsia"/>
          <w:lang w:val="en-US" w:eastAsia="zh-CN"/>
        </w:rPr>
        <w:t>supported</w:t>
      </w:r>
      <w:r>
        <w:rPr>
          <w:rFonts w:eastAsia="宋体"/>
          <w:lang w:val="en-US" w:eastAsia="zh-CN"/>
        </w:rPr>
        <w:t>.</w:t>
      </w:r>
      <w:bookmarkEnd w:id="9"/>
      <w:bookmarkEnd w:id="10"/>
    </w:p>
    <w:p w:rsidR="00D654D7" w:rsidRDefault="00BD0615" w:rsidP="006C3DF7">
      <w:pPr>
        <w:spacing w:before="120" w:after="120"/>
        <w:rPr>
          <w:sz w:val="20"/>
        </w:rPr>
      </w:pPr>
      <w:r>
        <w:rPr>
          <w:rFonts w:hint="eastAsia"/>
          <w:iCs/>
          <w:sz w:val="20"/>
        </w:rPr>
        <w:t xml:space="preserve">According to the agreements in RAN1 #97, the period (P1 in unit of ms) of S-SSB(s) transmission is the same for all SCS and three alternative schemes are provided as follows. </w:t>
      </w:r>
    </w:p>
    <w:p w:rsidR="00D654D7" w:rsidRDefault="00BD0615" w:rsidP="006C3DF7">
      <w:pPr>
        <w:pStyle w:val="ListParagraph"/>
        <w:numPr>
          <w:ilvl w:val="1"/>
          <w:numId w:val="11"/>
        </w:numPr>
        <w:spacing w:after="120"/>
        <w:rPr>
          <w:iCs/>
          <w:sz w:val="20"/>
          <w:szCs w:val="20"/>
        </w:rPr>
      </w:pPr>
      <w:r>
        <w:rPr>
          <w:rFonts w:hint="eastAsia"/>
          <w:iCs/>
          <w:sz w:val="20"/>
          <w:szCs w:val="20"/>
        </w:rPr>
        <w:t>Alt 1: t</w:t>
      </w:r>
      <w:r>
        <w:rPr>
          <w:iCs/>
          <w:sz w:val="20"/>
          <w:szCs w:val="20"/>
        </w:rPr>
        <w:t>he</w:t>
      </w:r>
      <w:r>
        <w:rPr>
          <w:rFonts w:hint="eastAsia"/>
          <w:iCs/>
          <w:sz w:val="20"/>
          <w:szCs w:val="20"/>
        </w:rPr>
        <w:t xml:space="preserve"> number of S-SSB(s) transmitted within P1is </w:t>
      </w:r>
      <w:r>
        <w:rPr>
          <w:iCs/>
          <w:sz w:val="20"/>
          <w:szCs w:val="20"/>
        </w:rPr>
        <w:t>(pre-)</w:t>
      </w:r>
      <w:r>
        <w:rPr>
          <w:rFonts w:hint="eastAsia"/>
          <w:iCs/>
          <w:sz w:val="20"/>
          <w:szCs w:val="20"/>
        </w:rPr>
        <w:t>configurable.</w:t>
      </w:r>
    </w:p>
    <w:p w:rsidR="00D654D7" w:rsidRDefault="00BD0615" w:rsidP="006C3DF7">
      <w:pPr>
        <w:pStyle w:val="ListParagraph"/>
        <w:numPr>
          <w:ilvl w:val="1"/>
          <w:numId w:val="11"/>
        </w:numPr>
        <w:spacing w:after="120"/>
        <w:rPr>
          <w:iCs/>
          <w:sz w:val="20"/>
          <w:szCs w:val="20"/>
        </w:rPr>
      </w:pPr>
      <w:r>
        <w:rPr>
          <w:rFonts w:hint="eastAsia"/>
          <w:iCs/>
          <w:sz w:val="20"/>
          <w:szCs w:val="20"/>
        </w:rPr>
        <w:t>Alt 2: t</w:t>
      </w:r>
      <w:r>
        <w:rPr>
          <w:iCs/>
          <w:sz w:val="20"/>
          <w:szCs w:val="20"/>
        </w:rPr>
        <w:t>he</w:t>
      </w:r>
      <w:r>
        <w:rPr>
          <w:rFonts w:hint="eastAsia"/>
          <w:iCs/>
          <w:sz w:val="20"/>
          <w:szCs w:val="20"/>
        </w:rPr>
        <w:t xml:space="preserve"> number of S-SSB(s) transmitted is fixed within P1</w:t>
      </w:r>
      <w:r>
        <w:rPr>
          <w:iCs/>
          <w:sz w:val="20"/>
          <w:szCs w:val="20"/>
        </w:rPr>
        <w:t xml:space="preserve"> </w:t>
      </w:r>
      <w:r>
        <w:rPr>
          <w:rFonts w:hint="eastAsia"/>
          <w:iCs/>
          <w:sz w:val="20"/>
          <w:szCs w:val="20"/>
        </w:rPr>
        <w:t>per SCS.</w:t>
      </w:r>
    </w:p>
    <w:p w:rsidR="00D654D7" w:rsidRDefault="00BD0615" w:rsidP="006C3DF7">
      <w:pPr>
        <w:pStyle w:val="ListParagraph"/>
        <w:numPr>
          <w:ilvl w:val="1"/>
          <w:numId w:val="11"/>
        </w:numPr>
        <w:spacing w:after="120"/>
        <w:rPr>
          <w:iCs/>
          <w:sz w:val="20"/>
          <w:szCs w:val="20"/>
        </w:rPr>
      </w:pPr>
      <w:r>
        <w:rPr>
          <w:rFonts w:hint="eastAsia"/>
          <w:iCs/>
          <w:sz w:val="20"/>
          <w:szCs w:val="20"/>
        </w:rPr>
        <w:t>Alt 3: only one S-SSB for all SCS is transmitted within P1.</w:t>
      </w:r>
    </w:p>
    <w:p w:rsidR="00D654D7" w:rsidRDefault="00BD0615" w:rsidP="006C3DF7">
      <w:pPr>
        <w:spacing w:before="120" w:after="120"/>
        <w:rPr>
          <w:sz w:val="20"/>
        </w:rPr>
      </w:pPr>
      <w:r>
        <w:rPr>
          <w:rFonts w:hint="eastAsia"/>
          <w:sz w:val="20"/>
        </w:rPr>
        <w:t>For PR1, we think one S-SSB transmitted within the P1 can be fixed. If consider FR2</w:t>
      </w:r>
      <w:r>
        <w:rPr>
          <w:rFonts w:hint="eastAsia"/>
        </w:rPr>
        <w:t xml:space="preserve">, beam sweeping may be supported in the future releases. It is best to support multiple </w:t>
      </w:r>
      <w:r>
        <w:rPr>
          <w:rFonts w:hint="eastAsia"/>
          <w:sz w:val="20"/>
        </w:rPr>
        <w:t xml:space="preserve">S-SSBs transmitted within the P1. So, for different SCSs, the number of S-SSB(s) would be different. It should be noted that 60 kHz SCS is supported in both FR1 and FR2. So both one S-SSB and multiple S-SSB(s) should be supported for 60 kHz SCS. Based on the frequency range sidelink work in, UE can determine the number of S-SSB(s) within P1. </w:t>
      </w:r>
    </w:p>
    <w:p w:rsidR="00D654D7" w:rsidRDefault="00BD0615" w:rsidP="006C3DF7">
      <w:pPr>
        <w:spacing w:before="120" w:after="120"/>
        <w:rPr>
          <w:sz w:val="20"/>
        </w:rPr>
      </w:pPr>
      <w:r>
        <w:rPr>
          <w:rFonts w:hint="eastAsia"/>
          <w:sz w:val="20"/>
        </w:rPr>
        <w:t>From the point of sidelink synchronization, it is desirable to fix the number of S-SSB(s) per SCS. Based on this, the UEs can know the resources used by S-SSB(s) each other, e.g., the in-coverage UE and the out-of-coverage UE. So, fixed number of S-SSB(s) may be preferred. (pre-) configuration is not needed. For the value of the synchronization period (P1), we think 160 ms should be supported.</w:t>
      </w:r>
    </w:p>
    <w:p w:rsidR="00D654D7" w:rsidRDefault="00BD0615" w:rsidP="006C3DF7">
      <w:pPr>
        <w:pStyle w:val="YJ-Proposal"/>
        <w:adjustRightInd w:val="0"/>
        <w:snapToGrid w:val="0"/>
        <w:spacing w:before="120" w:after="120" w:line="260" w:lineRule="auto"/>
        <w:rPr>
          <w:lang w:val="en-US" w:eastAsia="zh-CN"/>
        </w:rPr>
      </w:pPr>
      <w:bookmarkStart w:id="11" w:name="_Toc16881440"/>
      <w:r>
        <w:rPr>
          <w:rFonts w:hint="eastAsia"/>
          <w:lang w:val="en-US" w:eastAsia="zh-CN"/>
        </w:rPr>
        <w:t>T</w:t>
      </w:r>
      <w:r>
        <w:t>he</w:t>
      </w:r>
      <w:r>
        <w:rPr>
          <w:rFonts w:hint="eastAsia"/>
        </w:rPr>
        <w:t xml:space="preserve"> </w:t>
      </w:r>
      <w:r>
        <w:rPr>
          <w:rFonts w:eastAsia="宋体"/>
          <w:szCs w:val="22"/>
          <w:lang w:val="en-US" w:eastAsia="zh-CN"/>
        </w:rPr>
        <w:t xml:space="preserve">number </w:t>
      </w:r>
      <w:r>
        <w:rPr>
          <w:rFonts w:hint="eastAsia"/>
        </w:rPr>
        <w:t xml:space="preserve">of S-SSB(s) transmitted </w:t>
      </w:r>
      <w:r w:rsidR="005D28C0">
        <w:rPr>
          <w:rFonts w:hint="eastAsia"/>
          <w:lang w:val="en-US" w:eastAsia="zh-CN"/>
        </w:rPr>
        <w:t xml:space="preserve">within P1 </w:t>
      </w:r>
      <w:r>
        <w:rPr>
          <w:rFonts w:hint="eastAsia"/>
          <w:lang w:val="en-US" w:eastAsia="zh-CN"/>
        </w:rPr>
        <w:t>should be</w:t>
      </w:r>
      <w:r>
        <w:rPr>
          <w:rFonts w:hint="eastAsia"/>
        </w:rPr>
        <w:t xml:space="preserve"> </w:t>
      </w:r>
      <w:r>
        <w:rPr>
          <w:rFonts w:hint="eastAsia"/>
          <w:lang w:val="en-US" w:eastAsia="zh-CN"/>
        </w:rPr>
        <w:t>fixed per SCS</w:t>
      </w:r>
      <w:r>
        <w:rPr>
          <w:rFonts w:hint="eastAsia"/>
        </w:rPr>
        <w:t>.</w:t>
      </w:r>
      <w:r>
        <w:rPr>
          <w:rFonts w:hint="eastAsia"/>
          <w:lang w:val="en-US" w:eastAsia="zh-CN"/>
        </w:rPr>
        <w:t xml:space="preserve"> 160 ms is supported for P1.</w:t>
      </w:r>
      <w:bookmarkEnd w:id="11"/>
    </w:p>
    <w:p w:rsidR="00D654D7" w:rsidRDefault="00D654D7" w:rsidP="006C3DF7">
      <w:pPr>
        <w:spacing w:before="120" w:after="120"/>
        <w:rPr>
          <w:sz w:val="20"/>
        </w:rPr>
      </w:pPr>
    </w:p>
    <w:p w:rsidR="00D654D7" w:rsidRDefault="00BD0615" w:rsidP="006C3DF7">
      <w:pPr>
        <w:pStyle w:val="Heading2"/>
        <w:adjustRightInd w:val="0"/>
        <w:snapToGrid w:val="0"/>
        <w:spacing w:before="120" w:after="120" w:line="260" w:lineRule="auto"/>
        <w:ind w:left="991" w:right="210" w:hangingChars="354" w:hanging="991"/>
      </w:pPr>
      <w:r>
        <w:rPr>
          <w:rFonts w:hint="eastAsia"/>
          <w:szCs w:val="22"/>
        </w:rPr>
        <w:t xml:space="preserve">PSBCH </w:t>
      </w:r>
      <w:r>
        <w:rPr>
          <w:rFonts w:eastAsia="宋体" w:hint="eastAsia"/>
          <w:szCs w:val="22"/>
        </w:rPr>
        <w:t>content</w:t>
      </w:r>
      <w:r>
        <w:rPr>
          <w:rFonts w:hint="eastAsia"/>
          <w:szCs w:val="22"/>
        </w:rPr>
        <w:t xml:space="preserve">  </w:t>
      </w:r>
    </w:p>
    <w:p w:rsidR="00D654D7" w:rsidRDefault="00BD0615" w:rsidP="006C3DF7">
      <w:pPr>
        <w:spacing w:before="120" w:after="120" w:line="22" w:lineRule="atLeast"/>
        <w:rPr>
          <w:sz w:val="20"/>
        </w:rPr>
      </w:pPr>
      <w:r>
        <w:rPr>
          <w:sz w:val="20"/>
        </w:rPr>
        <w:t>In LTE V2X, PSBCH is transmitted together with SL SS to indicate some essential information, such as sidelink bandwidth, SFN/DFN and in-coverage indication, so that out-of-coverage UEs can obtain timing and other synchronization information. Similarly, in NR V2X, some indications should be included in PSBCH.</w:t>
      </w:r>
    </w:p>
    <w:p w:rsidR="00D654D7" w:rsidRDefault="00BD0615" w:rsidP="006C3DF7">
      <w:pPr>
        <w:numPr>
          <w:ilvl w:val="0"/>
          <w:numId w:val="14"/>
        </w:numPr>
        <w:spacing w:before="120" w:after="120" w:line="22" w:lineRule="atLeast"/>
        <w:ind w:left="720"/>
        <w:rPr>
          <w:sz w:val="20"/>
        </w:rPr>
      </w:pPr>
      <w:r>
        <w:rPr>
          <w:rFonts w:hint="eastAsia"/>
          <w:sz w:val="20"/>
        </w:rPr>
        <w:t>SFN/DFN</w:t>
      </w:r>
    </w:p>
    <w:p w:rsidR="00D654D7" w:rsidRDefault="00BD0615" w:rsidP="006C3DF7">
      <w:pPr>
        <w:snapToGrid w:val="0"/>
        <w:spacing w:before="120" w:after="120" w:line="22" w:lineRule="atLeast"/>
        <w:ind w:left="720"/>
        <w:rPr>
          <w:sz w:val="20"/>
        </w:rPr>
      </w:pPr>
      <w:r>
        <w:rPr>
          <w:rFonts w:hint="eastAsia"/>
          <w:sz w:val="20"/>
        </w:rPr>
        <w:t xml:space="preserve">This field indicates the System Frame Number (or </w:t>
      </w:r>
      <w:r>
        <w:rPr>
          <w:sz w:val="20"/>
        </w:rPr>
        <w:t>Direct Frame Number</w:t>
      </w:r>
      <w:r>
        <w:rPr>
          <w:rFonts w:hint="eastAsia"/>
          <w:sz w:val="20"/>
        </w:rPr>
        <w:t>) of the frame in which S-SSB is transmitted. Based on this filed, the detecting UEs can obtain the frame number information for NR V2X communication.</w:t>
      </w:r>
    </w:p>
    <w:p w:rsidR="00D654D7" w:rsidRDefault="00BD0615" w:rsidP="006C3DF7">
      <w:pPr>
        <w:numPr>
          <w:ilvl w:val="0"/>
          <w:numId w:val="14"/>
        </w:numPr>
        <w:spacing w:before="120" w:after="120" w:line="22" w:lineRule="atLeast"/>
        <w:ind w:left="720"/>
        <w:rPr>
          <w:sz w:val="20"/>
        </w:rPr>
      </w:pPr>
      <w:r>
        <w:rPr>
          <w:rFonts w:hint="eastAsia"/>
          <w:sz w:val="20"/>
        </w:rPr>
        <w:t xml:space="preserve">S-SSB index </w:t>
      </w:r>
    </w:p>
    <w:p w:rsidR="00D654D7" w:rsidRDefault="00BD0615" w:rsidP="006C3DF7">
      <w:pPr>
        <w:snapToGrid w:val="0"/>
        <w:spacing w:before="120" w:after="120" w:line="22" w:lineRule="atLeast"/>
        <w:ind w:left="720"/>
        <w:rPr>
          <w:sz w:val="20"/>
        </w:rPr>
      </w:pPr>
      <w:r>
        <w:rPr>
          <w:sz w:val="20"/>
        </w:rPr>
        <w:t xml:space="preserve">Similar to Rel-15 NR Uu, the UE can derive the frame timing based on the time index of the detected S-SSB in an S-SSB transmission period. At the same time, a pattern of candidate location of S-SSB in a period is predefined. Each candidate location of S-SSB corresponds to one time index in ascending order. With both the indicated index in the defined pattern and SFN/DFN, the frame timing of S-SSB can be determined. </w:t>
      </w:r>
      <w:r>
        <w:rPr>
          <w:rFonts w:hint="eastAsia"/>
          <w:sz w:val="20"/>
        </w:rPr>
        <w:t xml:space="preserve">In NR, SSB index in half frame duration is indicated implicitly by PBCH DMRS sequence. S-SSB index indication can reuse the same mechanism to reduce the overhead of explicit indication. </w:t>
      </w:r>
    </w:p>
    <w:p w:rsidR="00D654D7" w:rsidRDefault="00BD0615" w:rsidP="006C3DF7">
      <w:pPr>
        <w:numPr>
          <w:ilvl w:val="0"/>
          <w:numId w:val="14"/>
        </w:numPr>
        <w:spacing w:before="120" w:after="120" w:line="22" w:lineRule="atLeast"/>
        <w:ind w:left="720"/>
        <w:rPr>
          <w:sz w:val="20"/>
        </w:rPr>
      </w:pPr>
      <w:r>
        <w:rPr>
          <w:rFonts w:hint="eastAsia"/>
          <w:sz w:val="20"/>
        </w:rPr>
        <w:lastRenderedPageBreak/>
        <w:t>Direct synchronization indicator</w:t>
      </w:r>
    </w:p>
    <w:p w:rsidR="00D654D7" w:rsidRDefault="00BD0615" w:rsidP="006C3DF7">
      <w:pPr>
        <w:snapToGrid w:val="0"/>
        <w:spacing w:before="120" w:after="120" w:line="22" w:lineRule="atLeast"/>
        <w:ind w:left="720"/>
        <w:rPr>
          <w:sz w:val="20"/>
        </w:rPr>
      </w:pPr>
      <w:r>
        <w:rPr>
          <w:sz w:val="20"/>
        </w:rPr>
        <w:t>This indication can help UE to differentiate between the sync reference UEs directly synchronizing to the highest sync source (i.e., network or GNSS) and the sync reference UEs indirectly synchronizing to the highest sync source. Based on this indication, the UE can select sync reference according to priority order of sync references</w:t>
      </w:r>
      <w:r>
        <w:rPr>
          <w:rFonts w:hint="eastAsia"/>
          <w:sz w:val="20"/>
        </w:rPr>
        <w:t xml:space="preserve"> if it </w:t>
      </w:r>
      <w:r>
        <w:rPr>
          <w:sz w:val="20"/>
        </w:rPr>
        <w:t xml:space="preserve">is </w:t>
      </w:r>
      <w:r>
        <w:rPr>
          <w:rFonts w:hint="eastAsia"/>
          <w:sz w:val="20"/>
        </w:rPr>
        <w:t>defined.</w:t>
      </w:r>
    </w:p>
    <w:p w:rsidR="00D654D7" w:rsidRDefault="00BD0615" w:rsidP="006C3DF7">
      <w:pPr>
        <w:pStyle w:val="YJ-Proposal"/>
        <w:adjustRightInd w:val="0"/>
        <w:snapToGrid w:val="0"/>
        <w:spacing w:before="120" w:after="120" w:line="22" w:lineRule="atLeast"/>
        <w:rPr>
          <w:lang w:val="en-US" w:eastAsia="zh-CN"/>
        </w:rPr>
      </w:pPr>
      <w:bookmarkStart w:id="12" w:name="_Toc7474993"/>
      <w:bookmarkStart w:id="13" w:name="_Toc16881441"/>
      <w:r>
        <w:rPr>
          <w:rFonts w:eastAsia="宋体"/>
          <w:lang w:val="en-US" w:eastAsia="zh-CN"/>
        </w:rPr>
        <w:t xml:space="preserve">PSBCH </w:t>
      </w:r>
      <w:r>
        <w:rPr>
          <w:rFonts w:eastAsia="宋体" w:hint="eastAsia"/>
          <w:lang w:val="en-US" w:eastAsia="zh-CN"/>
        </w:rPr>
        <w:t xml:space="preserve">should carry at least </w:t>
      </w:r>
      <w:r>
        <w:rPr>
          <w:rFonts w:hint="eastAsia"/>
        </w:rPr>
        <w:t>SFN/DFN</w:t>
      </w:r>
      <w:r>
        <w:t xml:space="preserve">, </w:t>
      </w:r>
      <w:r>
        <w:rPr>
          <w:rFonts w:hint="eastAsia"/>
        </w:rPr>
        <w:t>S-SSB index</w:t>
      </w:r>
      <w:r>
        <w:t xml:space="preserve"> and d</w:t>
      </w:r>
      <w:r>
        <w:rPr>
          <w:rFonts w:hint="eastAsia"/>
        </w:rPr>
        <w:t>irect synchronization indicator</w:t>
      </w:r>
      <w:r>
        <w:t>.</w:t>
      </w:r>
      <w:bookmarkEnd w:id="12"/>
      <w:bookmarkEnd w:id="13"/>
    </w:p>
    <w:p w:rsidR="00D654D7" w:rsidRDefault="00BD0615" w:rsidP="006C3DF7">
      <w:pPr>
        <w:adjustRightInd w:val="0"/>
        <w:snapToGrid w:val="0"/>
        <w:spacing w:before="120" w:after="120" w:line="260" w:lineRule="auto"/>
        <w:rPr>
          <w:sz w:val="20"/>
          <w:szCs w:val="22"/>
        </w:rPr>
      </w:pPr>
      <w:r>
        <w:rPr>
          <w:rFonts w:hint="eastAsia"/>
          <w:sz w:val="20"/>
          <w:szCs w:val="22"/>
        </w:rPr>
        <w:t xml:space="preserve">In order to support NR V2X communication in partial coverage scenario, it is necessary for out-of-coverage UEs to acquire the UL/DL TDD configuration and resource pool(s) configuration in network coverage. In WID in Rel-16, </w:t>
      </w:r>
      <w:r>
        <w:rPr>
          <w:rFonts w:hint="eastAsia"/>
          <w:sz w:val="20"/>
          <w:szCs w:val="22"/>
          <w:lang w:eastAsia="ko-KR"/>
        </w:rPr>
        <w:t>UE relaying resource pool configuration or resource configuration is not supported</w:t>
      </w:r>
      <w:r>
        <w:rPr>
          <w:rFonts w:hint="eastAsia"/>
          <w:sz w:val="20"/>
          <w:szCs w:val="22"/>
        </w:rPr>
        <w:t xml:space="preserve"> definitely. So it not need to consider indication in PSBCH for </w:t>
      </w:r>
      <w:r>
        <w:rPr>
          <w:rFonts w:hint="eastAsia"/>
          <w:sz w:val="20"/>
          <w:szCs w:val="22"/>
          <w:lang w:eastAsia="ko-KR"/>
        </w:rPr>
        <w:t>resource pool configuration or resource configuration</w:t>
      </w:r>
      <w:r>
        <w:rPr>
          <w:rFonts w:hint="eastAsia"/>
          <w:sz w:val="20"/>
          <w:szCs w:val="22"/>
        </w:rPr>
        <w:t xml:space="preserve">. </w:t>
      </w:r>
    </w:p>
    <w:p w:rsidR="00D654D7" w:rsidRDefault="00BD0615" w:rsidP="006C3DF7">
      <w:pPr>
        <w:adjustRightInd w:val="0"/>
        <w:snapToGrid w:val="0"/>
        <w:spacing w:before="120" w:after="120" w:line="260" w:lineRule="auto"/>
        <w:rPr>
          <w:sz w:val="20"/>
          <w:szCs w:val="22"/>
        </w:rPr>
      </w:pPr>
      <w:r>
        <w:rPr>
          <w:rFonts w:hint="eastAsia"/>
          <w:sz w:val="20"/>
          <w:szCs w:val="22"/>
        </w:rPr>
        <w:t>In order to avoid the limit to UL/DL TDD configuration in network coverage, it can be considered to indicate UL/DL TDD configuration in PSBCH. By indication information, the out-of-coverage UEs can determine the UL/DL TDD configuration in network coverage.</w:t>
      </w:r>
    </w:p>
    <w:p w:rsidR="00D654D7" w:rsidRDefault="00BD0615" w:rsidP="006C3DF7">
      <w:pPr>
        <w:adjustRightInd w:val="0"/>
        <w:snapToGrid w:val="0"/>
        <w:spacing w:before="120" w:after="120" w:line="260" w:lineRule="auto"/>
        <w:rPr>
          <w:sz w:val="20"/>
        </w:rPr>
      </w:pPr>
      <w:r>
        <w:rPr>
          <w:rFonts w:hint="eastAsia"/>
          <w:sz w:val="20"/>
          <w:szCs w:val="22"/>
        </w:rPr>
        <w:t xml:space="preserve"> </w:t>
      </w:r>
      <w:r>
        <w:rPr>
          <w:rFonts w:hint="eastAsia"/>
          <w:sz w:val="20"/>
        </w:rPr>
        <w:t xml:space="preserve">The payload of PSBCH would be increased largely if the information of UL/DL TDD configuration is indicated in PSBCH. In Rel-15 NR, IE </w:t>
      </w:r>
      <w:r>
        <w:rPr>
          <w:sz w:val="20"/>
        </w:rPr>
        <w:t>TDD-UL-DL-ConfigCommon</w:t>
      </w:r>
      <w:r>
        <w:rPr>
          <w:rFonts w:hint="eastAsia"/>
          <w:sz w:val="20"/>
        </w:rPr>
        <w:t xml:space="preserve"> </w:t>
      </w:r>
      <w:r>
        <w:rPr>
          <w:sz w:val="20"/>
        </w:rPr>
        <w:t>determines the</w:t>
      </w:r>
      <w:r>
        <w:rPr>
          <w:rFonts w:hint="eastAsia"/>
          <w:sz w:val="20"/>
        </w:rPr>
        <w:t xml:space="preserve"> cell-specific</w:t>
      </w:r>
      <w:r>
        <w:rPr>
          <w:sz w:val="20"/>
        </w:rPr>
        <w:t xml:space="preserve"> Uplink/Downlink TDD configuration</w:t>
      </w:r>
      <w:r>
        <w:rPr>
          <w:rFonts w:hint="eastAsia"/>
          <w:sz w:val="20"/>
        </w:rPr>
        <w:t xml:space="preserve">. In this IE configuration, two patterns (pattern1 and pattern2) may be configured to finish </w:t>
      </w:r>
      <w:r>
        <w:rPr>
          <w:sz w:val="20"/>
        </w:rPr>
        <w:t>the</w:t>
      </w:r>
      <w:r>
        <w:rPr>
          <w:rFonts w:hint="eastAsia"/>
          <w:sz w:val="20"/>
        </w:rPr>
        <w:t xml:space="preserve"> cell-specific</w:t>
      </w:r>
      <w:r>
        <w:rPr>
          <w:sz w:val="20"/>
        </w:rPr>
        <w:t xml:space="preserve"> Uplink/Downlink TDD configuration</w:t>
      </w:r>
      <w:r>
        <w:rPr>
          <w:rFonts w:hint="eastAsia"/>
          <w:sz w:val="20"/>
        </w:rPr>
        <w:t xml:space="preserve">. Even </w:t>
      </w:r>
      <w:r>
        <w:rPr>
          <w:sz w:val="20"/>
        </w:rPr>
        <w:t>if only one (e.g., pattern1) is configured, 31-bit payload would be needed.</w:t>
      </w:r>
      <w:r>
        <w:rPr>
          <w:rFonts w:hint="eastAsia"/>
          <w:sz w:val="20"/>
        </w:rPr>
        <w:t xml:space="preserve"> On the other hand, only valid range of UL/DL TDD configuration can be indecated for sidelink in order to save indication payload.</w:t>
      </w:r>
    </w:p>
    <w:p w:rsidR="00D654D7" w:rsidRDefault="00BD0615" w:rsidP="006C3DF7">
      <w:pPr>
        <w:pStyle w:val="YJ-Observation"/>
        <w:adjustRightInd w:val="0"/>
        <w:snapToGrid w:val="0"/>
        <w:spacing w:before="120" w:after="120" w:line="260" w:lineRule="auto"/>
        <w:rPr>
          <w:lang w:val="en-US" w:eastAsia="zh-CN"/>
        </w:rPr>
      </w:pPr>
      <w:bookmarkStart w:id="14" w:name="_Toc7474985"/>
      <w:bookmarkStart w:id="15" w:name="_Toc16881434"/>
      <w:r>
        <w:rPr>
          <w:rFonts w:hint="eastAsia"/>
          <w:lang w:val="en-US" w:eastAsia="zh-CN"/>
        </w:rPr>
        <w:t>I</w:t>
      </w:r>
      <w:r>
        <w:rPr>
          <w:lang w:val="en-US" w:eastAsia="zh-CN"/>
        </w:rPr>
        <w:t xml:space="preserve">t is </w:t>
      </w:r>
      <w:r>
        <w:rPr>
          <w:rFonts w:hint="eastAsia"/>
          <w:lang w:val="en-US" w:eastAsia="zh-CN"/>
        </w:rPr>
        <w:t>hardly achievable to</w:t>
      </w:r>
      <w:r>
        <w:rPr>
          <w:lang w:val="en-US" w:eastAsia="zh-CN"/>
        </w:rPr>
        <w:t xml:space="preserve"> keep the PSBCH payload size no more than 56 bits</w:t>
      </w:r>
      <w:r>
        <w:rPr>
          <w:rFonts w:hint="eastAsia"/>
          <w:lang w:val="en-US" w:eastAsia="zh-CN"/>
        </w:rPr>
        <w:t xml:space="preserve"> if </w:t>
      </w:r>
      <w:r>
        <w:rPr>
          <w:lang w:val="en-US" w:eastAsia="zh-CN"/>
        </w:rPr>
        <w:t>TDD UL/DL configuration</w:t>
      </w:r>
      <w:r>
        <w:rPr>
          <w:rFonts w:hint="eastAsia"/>
          <w:lang w:val="en-US" w:eastAsia="zh-CN"/>
        </w:rPr>
        <w:t xml:space="preserve"> are </w:t>
      </w:r>
      <w:r>
        <w:rPr>
          <w:lang w:val="en-US" w:eastAsia="zh-CN"/>
        </w:rPr>
        <w:t xml:space="preserve">fully </w:t>
      </w:r>
      <w:r>
        <w:rPr>
          <w:rFonts w:hint="eastAsia"/>
          <w:lang w:val="en-US" w:eastAsia="zh-CN"/>
        </w:rPr>
        <w:t>indicated in PSBCH</w:t>
      </w:r>
      <w:r>
        <w:rPr>
          <w:lang w:val="en-US" w:eastAsia="zh-CN"/>
        </w:rPr>
        <w:t>.</w:t>
      </w:r>
      <w:bookmarkEnd w:id="14"/>
      <w:bookmarkEnd w:id="15"/>
    </w:p>
    <w:p w:rsidR="00D654D7" w:rsidRDefault="00BD0615" w:rsidP="006C3DF7">
      <w:pPr>
        <w:pStyle w:val="YJ-Proposal"/>
        <w:adjustRightInd w:val="0"/>
        <w:snapToGrid w:val="0"/>
        <w:spacing w:before="120" w:after="120" w:line="260" w:lineRule="auto"/>
        <w:rPr>
          <w:lang w:val="en-US" w:eastAsia="zh-CN"/>
        </w:rPr>
      </w:pPr>
      <w:bookmarkStart w:id="16" w:name="_Toc16881442"/>
      <w:r>
        <w:rPr>
          <w:rFonts w:hint="eastAsia"/>
          <w:lang w:val="en-US" w:eastAsia="zh-CN"/>
        </w:rPr>
        <w:t>Information derived from UL/DL TDD configuration for sidelink should be indicated. The detail is FFS.</w:t>
      </w:r>
      <w:bookmarkEnd w:id="16"/>
    </w:p>
    <w:p w:rsidR="00D654D7" w:rsidRDefault="00D654D7" w:rsidP="006C3DF7">
      <w:pPr>
        <w:spacing w:before="120" w:after="120"/>
        <w:rPr>
          <w:sz w:val="20"/>
        </w:rPr>
      </w:pPr>
    </w:p>
    <w:p w:rsidR="00D654D7" w:rsidRDefault="00BD0615" w:rsidP="006C3DF7">
      <w:pPr>
        <w:pStyle w:val="Heading2"/>
        <w:adjustRightInd w:val="0"/>
        <w:snapToGrid w:val="0"/>
        <w:spacing w:before="120" w:after="120" w:line="260" w:lineRule="auto"/>
        <w:ind w:left="991" w:right="210" w:hangingChars="354" w:hanging="991"/>
      </w:pPr>
      <w:r>
        <w:rPr>
          <w:rFonts w:hint="eastAsia"/>
          <w:szCs w:val="22"/>
        </w:rPr>
        <w:t xml:space="preserve">Synchronization </w:t>
      </w:r>
      <w:r>
        <w:rPr>
          <w:rFonts w:hint="eastAsia"/>
        </w:rPr>
        <w:t>p</w:t>
      </w:r>
      <w:r>
        <w:rPr>
          <w:rFonts w:hint="eastAsia"/>
          <w:lang w:eastAsia="ko-KR"/>
        </w:rPr>
        <w:t>rocedure</w:t>
      </w:r>
    </w:p>
    <w:p w:rsidR="00D654D7" w:rsidRDefault="00BD0615" w:rsidP="006C3DF7">
      <w:pPr>
        <w:adjustRightInd w:val="0"/>
        <w:snapToGrid w:val="0"/>
        <w:spacing w:before="120" w:after="120" w:line="260" w:lineRule="auto"/>
        <w:rPr>
          <w:rFonts w:cs="Arial"/>
          <w:bCs/>
          <w:i/>
          <w:sz w:val="24"/>
          <w:szCs w:val="24"/>
          <w:u w:val="single"/>
        </w:rPr>
      </w:pPr>
      <w:r>
        <w:rPr>
          <w:rFonts w:cs="Arial" w:hint="eastAsia"/>
          <w:bCs/>
          <w:i/>
          <w:sz w:val="24"/>
          <w:szCs w:val="24"/>
          <w:u w:val="single"/>
        </w:rPr>
        <w:t>Synchronization reference select</w:t>
      </w:r>
    </w:p>
    <w:p w:rsidR="00D654D7" w:rsidRDefault="00BD0615" w:rsidP="006C3DF7">
      <w:pPr>
        <w:snapToGrid w:val="0"/>
        <w:spacing w:before="120" w:after="120" w:line="260" w:lineRule="auto"/>
        <w:rPr>
          <w:sz w:val="20"/>
        </w:rPr>
      </w:pPr>
      <w:r>
        <w:rPr>
          <w:rFonts w:hint="eastAsia"/>
          <w:sz w:val="20"/>
        </w:rPr>
        <w:t xml:space="preserve">In NR V2X, </w:t>
      </w:r>
      <w:r>
        <w:rPr>
          <w:rFonts w:hint="eastAsia"/>
          <w:sz w:val="20"/>
          <w:szCs w:val="22"/>
        </w:rPr>
        <w:t xml:space="preserve">it </w:t>
      </w:r>
      <w:r>
        <w:rPr>
          <w:rFonts w:hint="eastAsia"/>
          <w:sz w:val="20"/>
        </w:rPr>
        <w:t xml:space="preserve">is agreed that </w:t>
      </w:r>
    </w:p>
    <w:p w:rsidR="00D654D7" w:rsidRDefault="00BD0615" w:rsidP="006C3DF7">
      <w:pPr>
        <w:pStyle w:val="ListParagraph"/>
        <w:numPr>
          <w:ilvl w:val="0"/>
          <w:numId w:val="15"/>
        </w:numPr>
        <w:snapToGrid w:val="0"/>
        <w:spacing w:after="120" w:line="22" w:lineRule="atLeast"/>
        <w:rPr>
          <w:sz w:val="20"/>
          <w:szCs w:val="20"/>
        </w:rPr>
      </w:pPr>
      <w:r>
        <w:rPr>
          <w:rFonts w:eastAsia="宋体" w:hint="eastAsia"/>
          <w:sz w:val="20"/>
          <w:szCs w:val="20"/>
        </w:rPr>
        <w:t>a</w:t>
      </w:r>
      <w:r>
        <w:rPr>
          <w:sz w:val="20"/>
          <w:szCs w:val="20"/>
        </w:rPr>
        <w:t xml:space="preserve">t least GNSS, gNB/eNB and </w:t>
      </w:r>
      <w:r>
        <w:rPr>
          <w:rFonts w:hint="eastAsia"/>
          <w:sz w:val="20"/>
          <w:szCs w:val="20"/>
        </w:rPr>
        <w:t xml:space="preserve">NR </w:t>
      </w:r>
      <w:r>
        <w:rPr>
          <w:sz w:val="20"/>
          <w:szCs w:val="20"/>
        </w:rPr>
        <w:t>UE</w:t>
      </w:r>
      <w:r>
        <w:rPr>
          <w:rFonts w:eastAsia="DengXian"/>
          <w:sz w:val="20"/>
          <w:szCs w:val="20"/>
        </w:rPr>
        <w:t xml:space="preserve"> </w:t>
      </w:r>
      <w:r>
        <w:rPr>
          <w:rFonts w:eastAsia="DengXian" w:hint="eastAsia"/>
          <w:sz w:val="20"/>
          <w:szCs w:val="20"/>
        </w:rPr>
        <w:t>are</w:t>
      </w:r>
      <w:r>
        <w:rPr>
          <w:sz w:val="20"/>
          <w:szCs w:val="20"/>
        </w:rPr>
        <w:t xml:space="preserve"> supported </w:t>
      </w:r>
      <w:r>
        <w:rPr>
          <w:rFonts w:hint="eastAsia"/>
          <w:sz w:val="20"/>
          <w:szCs w:val="20"/>
        </w:rPr>
        <w:t>as</w:t>
      </w:r>
      <w:r>
        <w:rPr>
          <w:sz w:val="20"/>
          <w:szCs w:val="20"/>
        </w:rPr>
        <w:t xml:space="preserve"> the synchronization source</w:t>
      </w:r>
      <w:r>
        <w:rPr>
          <w:rFonts w:eastAsia="宋体" w:hint="eastAsia"/>
          <w:sz w:val="20"/>
          <w:szCs w:val="20"/>
        </w:rPr>
        <w:t xml:space="preserve"> (RAN1 #94bis)</w:t>
      </w:r>
      <w:r>
        <w:rPr>
          <w:rFonts w:eastAsia="宋体"/>
          <w:sz w:val="20"/>
          <w:szCs w:val="20"/>
        </w:rPr>
        <w:t xml:space="preserve">; </w:t>
      </w:r>
    </w:p>
    <w:p w:rsidR="00D654D7" w:rsidRDefault="00BD0615" w:rsidP="006C3DF7">
      <w:pPr>
        <w:pStyle w:val="ListParagraph"/>
        <w:numPr>
          <w:ilvl w:val="0"/>
          <w:numId w:val="15"/>
        </w:numPr>
        <w:snapToGrid w:val="0"/>
        <w:spacing w:after="120" w:line="22" w:lineRule="atLeast"/>
        <w:rPr>
          <w:sz w:val="20"/>
          <w:szCs w:val="20"/>
        </w:rPr>
      </w:pPr>
      <w:r>
        <w:rPr>
          <w:rFonts w:eastAsia="Malgun Gothic"/>
          <w:sz w:val="20"/>
          <w:szCs w:val="20"/>
        </w:rPr>
        <w:t>each</w:t>
      </w:r>
      <w:r>
        <w:rPr>
          <w:rFonts w:eastAsia="Malgun Gothic" w:hint="eastAsia"/>
          <w:sz w:val="20"/>
          <w:szCs w:val="20"/>
        </w:rPr>
        <w:t xml:space="preserve"> type of synchronization </w:t>
      </w:r>
      <w:r>
        <w:rPr>
          <w:rFonts w:eastAsia="Malgun Gothic"/>
          <w:sz w:val="20"/>
          <w:szCs w:val="20"/>
        </w:rPr>
        <w:t xml:space="preserve">reference has a respective </w:t>
      </w:r>
      <w:r>
        <w:rPr>
          <w:rFonts w:eastAsia="Malgun Gothic" w:hint="eastAsia"/>
          <w:sz w:val="20"/>
          <w:szCs w:val="20"/>
        </w:rPr>
        <w:t xml:space="preserve">sync </w:t>
      </w:r>
      <w:r>
        <w:rPr>
          <w:rFonts w:eastAsia="Malgun Gothic"/>
          <w:sz w:val="20"/>
          <w:szCs w:val="20"/>
        </w:rPr>
        <w:t>priority</w:t>
      </w:r>
      <w:r>
        <w:rPr>
          <w:rFonts w:eastAsia="宋体" w:hint="eastAsia"/>
          <w:sz w:val="20"/>
          <w:szCs w:val="20"/>
        </w:rPr>
        <w:t xml:space="preserve"> (RAN1 AH1901)</w:t>
      </w:r>
      <w:r>
        <w:rPr>
          <w:rFonts w:eastAsia="宋体"/>
          <w:sz w:val="20"/>
          <w:szCs w:val="20"/>
        </w:rPr>
        <w:t>;</w:t>
      </w:r>
    </w:p>
    <w:p w:rsidR="00D654D7" w:rsidRDefault="00BD0615" w:rsidP="006C3DF7">
      <w:pPr>
        <w:pStyle w:val="ListParagraph"/>
        <w:numPr>
          <w:ilvl w:val="0"/>
          <w:numId w:val="15"/>
        </w:numPr>
        <w:snapToGrid w:val="0"/>
        <w:spacing w:after="120" w:line="22" w:lineRule="atLeast"/>
        <w:rPr>
          <w:sz w:val="20"/>
          <w:szCs w:val="20"/>
        </w:rPr>
      </w:pPr>
      <w:r>
        <w:rPr>
          <w:rFonts w:hint="eastAsia"/>
          <w:sz w:val="20"/>
          <w:szCs w:val="20"/>
        </w:rPr>
        <w:t xml:space="preserve">the synchronization priority order based on network (eNB/gNB) or GNSS respectively </w:t>
      </w:r>
      <w:r>
        <w:rPr>
          <w:rFonts w:eastAsia="宋体" w:hint="eastAsia"/>
          <w:sz w:val="20"/>
          <w:szCs w:val="20"/>
        </w:rPr>
        <w:t>(</w:t>
      </w:r>
      <w:r>
        <w:rPr>
          <w:rFonts w:eastAsia="宋体"/>
          <w:sz w:val="20"/>
          <w:szCs w:val="20"/>
        </w:rPr>
        <w:t xml:space="preserve">WA in </w:t>
      </w:r>
      <w:r>
        <w:rPr>
          <w:rFonts w:eastAsia="宋体" w:hint="eastAsia"/>
          <w:sz w:val="20"/>
          <w:szCs w:val="20"/>
        </w:rPr>
        <w:t>RAN1 #96).</w:t>
      </w:r>
    </w:p>
    <w:p w:rsidR="00D654D7" w:rsidRDefault="00BD0615" w:rsidP="006C3DF7">
      <w:pPr>
        <w:snapToGrid w:val="0"/>
        <w:spacing w:before="120" w:after="120" w:line="22" w:lineRule="atLeast"/>
        <w:rPr>
          <w:sz w:val="20"/>
        </w:rPr>
      </w:pPr>
      <w:r>
        <w:rPr>
          <w:sz w:val="20"/>
        </w:rPr>
        <w:t>If the UE is in-coverage,</w:t>
      </w:r>
      <w:r>
        <w:rPr>
          <w:rFonts w:hint="eastAsia"/>
          <w:sz w:val="20"/>
        </w:rPr>
        <w:t xml:space="preserve"> the UE</w:t>
      </w:r>
      <w:r>
        <w:rPr>
          <w:sz w:val="20"/>
        </w:rPr>
        <w:t xml:space="preserve"> can select sidelink synchronization </w:t>
      </w:r>
      <w:r>
        <w:rPr>
          <w:rFonts w:hint="eastAsia"/>
          <w:sz w:val="20"/>
        </w:rPr>
        <w:t xml:space="preserve">reference by reusing the mechanism of LTE V2X. To be </w:t>
      </w:r>
      <w:r>
        <w:rPr>
          <w:sz w:val="20"/>
        </w:rPr>
        <w:t xml:space="preserve">more </w:t>
      </w:r>
      <w:r>
        <w:rPr>
          <w:rFonts w:hint="eastAsia"/>
          <w:sz w:val="20"/>
        </w:rPr>
        <w:t>specific, the UE selects network (gNB or eNB)</w:t>
      </w:r>
      <w:r>
        <w:rPr>
          <w:sz w:val="20"/>
        </w:rPr>
        <w:t xml:space="preserve"> or GNSS</w:t>
      </w:r>
      <w:r>
        <w:rPr>
          <w:rFonts w:hint="eastAsia"/>
          <w:sz w:val="20"/>
        </w:rPr>
        <w:t xml:space="preserve"> as the highest </w:t>
      </w:r>
      <w:r>
        <w:rPr>
          <w:sz w:val="20"/>
        </w:rPr>
        <w:t xml:space="preserve">synchronization </w:t>
      </w:r>
      <w:r>
        <w:rPr>
          <w:rFonts w:hint="eastAsia"/>
          <w:sz w:val="20"/>
        </w:rPr>
        <w:t>reference source</w:t>
      </w:r>
      <w:r>
        <w:rPr>
          <w:sz w:val="20"/>
        </w:rPr>
        <w:t>,</w:t>
      </w:r>
      <w:r>
        <w:rPr>
          <w:rFonts w:hint="eastAsia"/>
          <w:sz w:val="20"/>
        </w:rPr>
        <w:t xml:space="preserve"> </w:t>
      </w:r>
      <w:r>
        <w:rPr>
          <w:sz w:val="20"/>
        </w:rPr>
        <w:t>according to</w:t>
      </w:r>
      <w:r>
        <w:rPr>
          <w:rFonts w:hint="eastAsia"/>
          <w:sz w:val="20"/>
        </w:rPr>
        <w:t xml:space="preserve"> configuration</w:t>
      </w:r>
      <w:r>
        <w:rPr>
          <w:sz w:val="20"/>
        </w:rPr>
        <w:t xml:space="preserve"> from network.</w:t>
      </w:r>
      <w:r>
        <w:rPr>
          <w:rFonts w:hint="eastAsia"/>
          <w:sz w:val="20"/>
        </w:rPr>
        <w:t xml:space="preserve"> </w:t>
      </w:r>
    </w:p>
    <w:p w:rsidR="00D654D7" w:rsidRDefault="00BD0615" w:rsidP="006C3DF7">
      <w:pPr>
        <w:pStyle w:val="YJ-Proposal"/>
        <w:spacing w:before="120" w:after="120" w:line="260" w:lineRule="auto"/>
      </w:pPr>
      <w:bookmarkStart w:id="17" w:name="_Toc16881443"/>
      <w:r>
        <w:rPr>
          <w:rFonts w:hint="eastAsia"/>
          <w:lang w:val="en-US" w:eastAsia="zh-CN"/>
        </w:rPr>
        <w:t xml:space="preserve">For </w:t>
      </w:r>
      <w:r>
        <w:rPr>
          <w:rFonts w:hint="eastAsia"/>
          <w:szCs w:val="22"/>
          <w:lang w:val="en-US" w:eastAsia="zh-CN"/>
        </w:rPr>
        <w:t xml:space="preserve">the </w:t>
      </w:r>
      <w:r>
        <w:rPr>
          <w:rFonts w:eastAsia="宋体"/>
          <w:lang w:val="en-US" w:eastAsia="zh-CN"/>
        </w:rPr>
        <w:t xml:space="preserve">in-coverage </w:t>
      </w:r>
      <w:r>
        <w:rPr>
          <w:rFonts w:eastAsia="宋体" w:hint="eastAsia"/>
          <w:lang w:val="en-US" w:eastAsia="zh-CN"/>
        </w:rPr>
        <w:t>UEs, the m</w:t>
      </w:r>
      <w:r>
        <w:rPr>
          <w:rFonts w:eastAsia="宋体"/>
          <w:lang w:val="en-US" w:eastAsia="zh-CN"/>
        </w:rPr>
        <w:t>e</w:t>
      </w:r>
      <w:r>
        <w:rPr>
          <w:rFonts w:eastAsia="宋体" w:hint="eastAsia"/>
          <w:lang w:val="en-US" w:eastAsia="zh-CN"/>
        </w:rPr>
        <w:t>ch</w:t>
      </w:r>
      <w:r>
        <w:rPr>
          <w:rFonts w:eastAsia="宋体"/>
          <w:lang w:val="en-US" w:eastAsia="zh-CN"/>
        </w:rPr>
        <w:t>a</w:t>
      </w:r>
      <w:r>
        <w:rPr>
          <w:rFonts w:eastAsia="宋体" w:hint="eastAsia"/>
          <w:lang w:val="en-US" w:eastAsia="zh-CN"/>
        </w:rPr>
        <w:t xml:space="preserve">nism of </w:t>
      </w:r>
      <w:r>
        <w:rPr>
          <w:lang w:val="en-US" w:eastAsia="zh-CN"/>
        </w:rPr>
        <w:t xml:space="preserve">synchronization </w:t>
      </w:r>
      <w:r>
        <w:rPr>
          <w:rFonts w:hint="eastAsia"/>
          <w:lang w:val="en-US" w:eastAsia="zh-CN"/>
        </w:rPr>
        <w:t>reference selection</w:t>
      </w:r>
      <w:r>
        <w:rPr>
          <w:rFonts w:eastAsia="宋体" w:hint="eastAsia"/>
          <w:lang w:val="en-US" w:eastAsia="zh-CN"/>
        </w:rPr>
        <w:t xml:space="preserve"> in LTE V2X </w:t>
      </w:r>
      <w:r>
        <w:rPr>
          <w:rFonts w:eastAsia="宋体"/>
          <w:lang w:val="en-US" w:eastAsia="zh-CN"/>
        </w:rPr>
        <w:t>is</w:t>
      </w:r>
      <w:r>
        <w:rPr>
          <w:rFonts w:eastAsia="宋体" w:hint="eastAsia"/>
          <w:lang w:val="en-US" w:eastAsia="zh-CN"/>
        </w:rPr>
        <w:t xml:space="preserve"> reused for NR V2X.</w:t>
      </w:r>
      <w:bookmarkEnd w:id="17"/>
    </w:p>
    <w:p w:rsidR="00D654D7" w:rsidRDefault="00BD0615" w:rsidP="006C3DF7">
      <w:pPr>
        <w:snapToGrid w:val="0"/>
        <w:spacing w:before="120" w:after="120" w:line="22" w:lineRule="atLeast"/>
        <w:rPr>
          <w:sz w:val="20"/>
        </w:rPr>
      </w:pPr>
      <w:r>
        <w:rPr>
          <w:sz w:val="20"/>
        </w:rPr>
        <w:t xml:space="preserve">If the UE is out-of-coverage, the UE </w:t>
      </w:r>
      <w:r>
        <w:rPr>
          <w:rFonts w:hint="eastAsia"/>
          <w:sz w:val="20"/>
        </w:rPr>
        <w:t xml:space="preserve">can select </w:t>
      </w:r>
      <w:r>
        <w:rPr>
          <w:sz w:val="20"/>
        </w:rPr>
        <w:t xml:space="preserve">synchronization </w:t>
      </w:r>
      <w:r>
        <w:rPr>
          <w:rFonts w:hint="eastAsia"/>
          <w:sz w:val="20"/>
        </w:rPr>
        <w:t>reference according to synchronization priority order pre-configured. The working assumption reached in RAN1 #96 meeting can be accepted as the synchronization priority order.</w:t>
      </w:r>
    </w:p>
    <w:p w:rsidR="00D654D7" w:rsidRDefault="00BD0615" w:rsidP="006C3DF7">
      <w:pPr>
        <w:snapToGrid w:val="0"/>
        <w:spacing w:before="120" w:after="120" w:line="22" w:lineRule="atLeast"/>
        <w:rPr>
          <w:sz w:val="20"/>
        </w:rPr>
      </w:pPr>
      <w:r>
        <w:rPr>
          <w:rFonts w:hint="eastAsia"/>
          <w:sz w:val="20"/>
        </w:rPr>
        <w:t xml:space="preserve">It can be seen that for </w:t>
      </w:r>
      <w:r>
        <w:rPr>
          <w:sz w:val="20"/>
          <w:szCs w:val="22"/>
        </w:rPr>
        <w:t>GNSS-based synchronization</w:t>
      </w:r>
      <w:r>
        <w:rPr>
          <w:rFonts w:hint="eastAsia"/>
          <w:sz w:val="20"/>
        </w:rPr>
        <w:t xml:space="preserve"> the timing from gNB/eNB is not included as synchronization reference. For more synchronization chances, </w:t>
      </w:r>
      <w:r>
        <w:rPr>
          <w:rFonts w:hint="eastAsia"/>
          <w:sz w:val="20"/>
          <w:szCs w:val="22"/>
          <w:lang w:val="en-GB"/>
        </w:rPr>
        <w:t xml:space="preserve">UE directly synchronized to </w:t>
      </w:r>
      <w:r>
        <w:rPr>
          <w:rFonts w:hint="eastAsia"/>
          <w:sz w:val="20"/>
          <w:szCs w:val="22"/>
        </w:rPr>
        <w:t>gNB/</w:t>
      </w:r>
      <w:r>
        <w:rPr>
          <w:rFonts w:hint="eastAsia"/>
          <w:sz w:val="20"/>
          <w:szCs w:val="22"/>
          <w:lang w:val="en-GB"/>
        </w:rPr>
        <w:t>eNB</w:t>
      </w:r>
      <w:r>
        <w:rPr>
          <w:rFonts w:hint="eastAsia"/>
          <w:sz w:val="20"/>
        </w:rPr>
        <w:t xml:space="preserve"> and UE indirectly synchronized to gNB/eNB can be added into priority order P1 and P2 respectively which are included in LTE V2X, as shown in the table 1. </w:t>
      </w:r>
    </w:p>
    <w:p w:rsidR="00D654D7" w:rsidRDefault="00BD0615" w:rsidP="006C3DF7">
      <w:pPr>
        <w:snapToGrid w:val="0"/>
        <w:spacing w:before="120" w:after="120" w:line="22" w:lineRule="atLeast"/>
        <w:jc w:val="center"/>
        <w:rPr>
          <w:sz w:val="20"/>
        </w:rPr>
      </w:pPr>
      <w:r>
        <w:rPr>
          <w:rFonts w:hint="eastAsia"/>
          <w:sz w:val="20"/>
        </w:rPr>
        <w:t xml:space="preserve">Table 1 </w:t>
      </w:r>
      <w:r>
        <w:rPr>
          <w:rFonts w:eastAsiaTheme="minorEastAsia"/>
          <w:sz w:val="20"/>
        </w:rPr>
        <w:t>the priority order of GNSS-based synchronization</w:t>
      </w:r>
    </w:p>
    <w:tbl>
      <w:tblPr>
        <w:tblW w:w="8461" w:type="dxa"/>
        <w:jc w:val="center"/>
        <w:tblLayout w:type="fixed"/>
        <w:tblCellMar>
          <w:left w:w="0" w:type="dxa"/>
          <w:right w:w="0" w:type="dxa"/>
        </w:tblCellMar>
        <w:tblLook w:val="04A0"/>
      </w:tblPr>
      <w:tblGrid>
        <w:gridCol w:w="4164"/>
        <w:gridCol w:w="4297"/>
      </w:tblGrid>
      <w:tr w:rsidR="00D654D7">
        <w:trPr>
          <w:trHeight w:val="554"/>
          <w:jc w:val="center"/>
        </w:trPr>
        <w:tc>
          <w:tcPr>
            <w:tcW w:w="416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D654D7" w:rsidRDefault="00BD0615" w:rsidP="006C3DF7">
            <w:pPr>
              <w:spacing w:before="120" w:after="120"/>
              <w:jc w:val="center"/>
              <w:rPr>
                <w:rFonts w:ascii="Arial" w:eastAsiaTheme="minorEastAsia" w:hAnsi="Arial" w:cs="Arial"/>
                <w:color w:val="FFFFFF" w:themeColor="background1"/>
                <w:sz w:val="16"/>
                <w:szCs w:val="16"/>
              </w:rPr>
            </w:pPr>
            <w:r>
              <w:rPr>
                <w:rFonts w:ascii="Arial" w:eastAsiaTheme="minorEastAsia" w:hAnsi="Arial" w:cs="Arial"/>
                <w:b/>
                <w:bCs/>
                <w:color w:val="FFFFFF" w:themeColor="background1"/>
                <w:sz w:val="16"/>
                <w:szCs w:val="16"/>
              </w:rPr>
              <w:lastRenderedPageBreak/>
              <w:t>GNSS-based synchronization</w:t>
            </w:r>
          </w:p>
        </w:tc>
        <w:tc>
          <w:tcPr>
            <w:tcW w:w="429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D654D7" w:rsidRDefault="00BD0615" w:rsidP="006C3DF7">
            <w:pPr>
              <w:spacing w:before="120" w:after="120"/>
              <w:jc w:val="center"/>
              <w:rPr>
                <w:rFonts w:ascii="Arial" w:eastAsiaTheme="minorEastAsia" w:hAnsi="Arial" w:cs="Arial"/>
                <w:color w:val="FFFFFF" w:themeColor="background1"/>
                <w:sz w:val="16"/>
                <w:szCs w:val="16"/>
              </w:rPr>
            </w:pPr>
            <w:r>
              <w:rPr>
                <w:rFonts w:ascii="Arial" w:eastAsiaTheme="minorEastAsia" w:hAnsi="Arial" w:cs="Arial"/>
                <w:b/>
                <w:bCs/>
                <w:color w:val="FFFFFF" w:themeColor="background1"/>
                <w:sz w:val="16"/>
                <w:szCs w:val="16"/>
              </w:rPr>
              <w:t>gNB/eNB-based synchronization</w:t>
            </w:r>
          </w:p>
        </w:tc>
      </w:tr>
      <w:tr w:rsidR="00D654D7">
        <w:trPr>
          <w:trHeight w:val="1968"/>
          <w:jc w:val="center"/>
        </w:trPr>
        <w:tc>
          <w:tcPr>
            <w:tcW w:w="4164"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D654D7" w:rsidRDefault="00BD0615" w:rsidP="006C3DF7">
            <w:pPr>
              <w:numPr>
                <w:ilvl w:val="0"/>
                <w:numId w:val="16"/>
              </w:numPr>
              <w:tabs>
                <w:tab w:val="clear" w:pos="720"/>
                <w:tab w:val="left" w:pos="284"/>
              </w:tabs>
              <w:spacing w:before="120" w:after="120"/>
              <w:ind w:hanging="720"/>
              <w:rPr>
                <w:rFonts w:ascii="Arial" w:eastAsiaTheme="minorEastAsia" w:hAnsi="Arial" w:cs="Arial"/>
                <w:sz w:val="16"/>
                <w:szCs w:val="16"/>
              </w:rPr>
            </w:pPr>
            <w:r>
              <w:rPr>
                <w:rFonts w:ascii="Arial" w:eastAsiaTheme="minorEastAsia" w:hAnsi="Arial" w:cs="Arial"/>
                <w:sz w:val="16"/>
                <w:szCs w:val="16"/>
                <w:lang w:val="en-GB"/>
              </w:rPr>
              <w:t>P</w:t>
            </w:r>
            <w:r>
              <w:rPr>
                <w:rFonts w:ascii="Arial" w:eastAsiaTheme="minorEastAsia" w:hAnsi="Arial" w:cs="Arial" w:hint="eastAsia"/>
                <w:sz w:val="16"/>
                <w:szCs w:val="16"/>
                <w:lang w:val="en-GB"/>
              </w:rPr>
              <w:t>0</w:t>
            </w:r>
            <w:r>
              <w:rPr>
                <w:rFonts w:ascii="Arial" w:eastAsiaTheme="minorEastAsia" w:hAnsi="Arial" w:cs="Arial"/>
                <w:sz w:val="16"/>
                <w:szCs w:val="16"/>
                <w:lang w:val="en-GB"/>
              </w:rPr>
              <w:t xml:space="preserve">: GNSS </w:t>
            </w:r>
          </w:p>
          <w:p w:rsidR="00D654D7" w:rsidRDefault="00BD0615" w:rsidP="006C3DF7">
            <w:pPr>
              <w:numPr>
                <w:ilvl w:val="0"/>
                <w:numId w:val="16"/>
              </w:numPr>
              <w:tabs>
                <w:tab w:val="clear" w:pos="720"/>
                <w:tab w:val="left" w:pos="284"/>
              </w:tabs>
              <w:spacing w:before="120" w:after="120"/>
              <w:ind w:hanging="720"/>
              <w:rPr>
                <w:rFonts w:ascii="Arial" w:eastAsiaTheme="minorEastAsia" w:hAnsi="Arial" w:cs="Arial"/>
                <w:sz w:val="16"/>
                <w:szCs w:val="16"/>
              </w:rPr>
            </w:pPr>
            <w:r>
              <w:rPr>
                <w:rFonts w:ascii="Arial" w:eastAsiaTheme="minorEastAsia" w:hAnsi="Arial" w:cs="Arial"/>
                <w:sz w:val="16"/>
                <w:szCs w:val="16"/>
                <w:lang w:val="en-GB"/>
              </w:rPr>
              <w:t>P</w:t>
            </w:r>
            <w:r>
              <w:rPr>
                <w:rFonts w:ascii="Arial" w:eastAsiaTheme="minorEastAsia" w:hAnsi="Arial" w:cs="Arial" w:hint="eastAsia"/>
                <w:sz w:val="16"/>
                <w:szCs w:val="16"/>
                <w:lang w:val="en-GB"/>
              </w:rPr>
              <w:t>1</w:t>
            </w:r>
            <w:r>
              <w:rPr>
                <w:rFonts w:ascii="Arial" w:eastAsiaTheme="minorEastAsia" w:hAnsi="Arial" w:cs="Arial"/>
                <w:sz w:val="16"/>
                <w:szCs w:val="16"/>
                <w:lang w:val="en-GB"/>
              </w:rPr>
              <w:t xml:space="preserve">: the following UE has the same priority: </w:t>
            </w:r>
          </w:p>
          <w:p w:rsidR="00D654D7" w:rsidRDefault="00BD0615" w:rsidP="006C3DF7">
            <w:pPr>
              <w:numPr>
                <w:ilvl w:val="0"/>
                <w:numId w:val="16"/>
              </w:numPr>
              <w:spacing w:before="120" w:after="120"/>
              <w:rPr>
                <w:rFonts w:ascii="Arial" w:eastAsiaTheme="minorEastAsia" w:hAnsi="Arial" w:cs="Arial"/>
                <w:sz w:val="16"/>
                <w:szCs w:val="16"/>
              </w:rPr>
            </w:pPr>
            <w:r>
              <w:rPr>
                <w:rFonts w:ascii="Arial" w:eastAsiaTheme="minorEastAsia" w:hAnsi="Arial" w:cs="Arial"/>
                <w:sz w:val="16"/>
                <w:szCs w:val="16"/>
                <w:lang w:val="en-GB"/>
              </w:rPr>
              <w:t xml:space="preserve">UE directly synchronized to GNSS </w:t>
            </w:r>
          </w:p>
          <w:p w:rsidR="00D654D7" w:rsidRDefault="00BD0615" w:rsidP="006C3DF7">
            <w:pPr>
              <w:numPr>
                <w:ilvl w:val="0"/>
                <w:numId w:val="16"/>
              </w:numPr>
              <w:spacing w:before="120" w:after="120"/>
              <w:rPr>
                <w:rFonts w:ascii="Arial" w:eastAsiaTheme="minorEastAsia" w:hAnsi="Arial" w:cs="Arial"/>
                <w:sz w:val="16"/>
                <w:szCs w:val="16"/>
                <w:lang w:val="en-GB"/>
              </w:rPr>
            </w:pPr>
            <w:r>
              <w:rPr>
                <w:rFonts w:ascii="Arial" w:eastAsiaTheme="minorEastAsia" w:hAnsi="Arial" w:cs="Arial"/>
                <w:color w:val="4F81BD" w:themeColor="accent1"/>
                <w:sz w:val="16"/>
                <w:szCs w:val="16"/>
                <w:lang w:val="en-GB"/>
              </w:rPr>
              <w:t>UE directly synchronized to gNB/eNB</w:t>
            </w:r>
            <w:r>
              <w:rPr>
                <w:rFonts w:ascii="Arial" w:eastAsiaTheme="minorEastAsia" w:hAnsi="Arial" w:cs="Arial"/>
                <w:sz w:val="16"/>
                <w:szCs w:val="16"/>
                <w:lang w:val="en-GB"/>
              </w:rPr>
              <w:t xml:space="preserve"> </w:t>
            </w:r>
          </w:p>
          <w:p w:rsidR="00D654D7" w:rsidRDefault="00BD0615" w:rsidP="006C3DF7">
            <w:pPr>
              <w:numPr>
                <w:ilvl w:val="0"/>
                <w:numId w:val="16"/>
              </w:numPr>
              <w:tabs>
                <w:tab w:val="clear" w:pos="720"/>
                <w:tab w:val="left" w:pos="284"/>
              </w:tabs>
              <w:spacing w:before="120" w:after="120"/>
              <w:ind w:hanging="720"/>
              <w:rPr>
                <w:rFonts w:ascii="Arial" w:eastAsiaTheme="minorEastAsia" w:hAnsi="Arial" w:cs="Arial"/>
                <w:sz w:val="16"/>
                <w:szCs w:val="16"/>
              </w:rPr>
            </w:pPr>
            <w:r>
              <w:rPr>
                <w:rFonts w:ascii="Arial" w:eastAsiaTheme="minorEastAsia" w:hAnsi="Arial" w:cs="Arial"/>
                <w:sz w:val="16"/>
                <w:szCs w:val="16"/>
                <w:lang w:val="en-GB"/>
              </w:rPr>
              <w:t>P</w:t>
            </w:r>
            <w:r>
              <w:rPr>
                <w:rFonts w:ascii="Arial" w:eastAsiaTheme="minorEastAsia" w:hAnsi="Arial" w:cs="Arial" w:hint="eastAsia"/>
                <w:sz w:val="16"/>
                <w:szCs w:val="16"/>
                <w:lang w:val="en-GB"/>
              </w:rPr>
              <w:t>2</w:t>
            </w:r>
            <w:r>
              <w:rPr>
                <w:rFonts w:ascii="Arial" w:eastAsiaTheme="minorEastAsia" w:hAnsi="Arial" w:cs="Arial"/>
                <w:sz w:val="16"/>
                <w:szCs w:val="16"/>
                <w:lang w:val="en-GB"/>
              </w:rPr>
              <w:t xml:space="preserve">: the following UE has the same priority: </w:t>
            </w:r>
          </w:p>
          <w:p w:rsidR="00D654D7" w:rsidRDefault="00BD0615" w:rsidP="006C3DF7">
            <w:pPr>
              <w:numPr>
                <w:ilvl w:val="0"/>
                <w:numId w:val="16"/>
              </w:numPr>
              <w:spacing w:before="120" w:after="120"/>
              <w:rPr>
                <w:rFonts w:ascii="Arial" w:eastAsiaTheme="minorEastAsia" w:hAnsi="Arial" w:cs="Arial"/>
                <w:sz w:val="16"/>
                <w:szCs w:val="16"/>
              </w:rPr>
            </w:pPr>
            <w:r>
              <w:rPr>
                <w:rFonts w:ascii="Arial" w:eastAsiaTheme="minorEastAsia" w:hAnsi="Arial" w:cs="Arial"/>
                <w:sz w:val="16"/>
                <w:szCs w:val="16"/>
                <w:lang w:val="en-GB"/>
              </w:rPr>
              <w:t>UE indirectly synchronized to GNSS</w:t>
            </w:r>
          </w:p>
          <w:p w:rsidR="00D654D7" w:rsidRDefault="00BD0615" w:rsidP="006C3DF7">
            <w:pPr>
              <w:numPr>
                <w:ilvl w:val="0"/>
                <w:numId w:val="16"/>
              </w:numPr>
              <w:spacing w:before="120" w:after="120"/>
              <w:rPr>
                <w:rFonts w:ascii="Arial" w:eastAsiaTheme="minorEastAsia" w:hAnsi="Arial" w:cs="Arial"/>
                <w:sz w:val="16"/>
                <w:szCs w:val="16"/>
                <w:lang w:val="en-GB"/>
              </w:rPr>
            </w:pPr>
            <w:r>
              <w:rPr>
                <w:rFonts w:ascii="Arial" w:eastAsiaTheme="minorEastAsia" w:hAnsi="Arial" w:cs="Arial"/>
                <w:color w:val="4F81BD" w:themeColor="accent1"/>
                <w:sz w:val="16"/>
                <w:szCs w:val="16"/>
                <w:lang w:val="en-GB"/>
              </w:rPr>
              <w:t>UE indirectly synchronized to gNB/eNB</w:t>
            </w:r>
            <w:r>
              <w:rPr>
                <w:rFonts w:ascii="Arial" w:eastAsiaTheme="minorEastAsia" w:hAnsi="Arial" w:cs="Arial"/>
                <w:sz w:val="16"/>
                <w:szCs w:val="16"/>
                <w:lang w:val="en-GB"/>
              </w:rPr>
              <w:t xml:space="preserve"> </w:t>
            </w:r>
          </w:p>
          <w:p w:rsidR="00D654D7" w:rsidRDefault="00BD0615" w:rsidP="006C3DF7">
            <w:pPr>
              <w:numPr>
                <w:ilvl w:val="0"/>
                <w:numId w:val="16"/>
              </w:numPr>
              <w:tabs>
                <w:tab w:val="clear" w:pos="720"/>
                <w:tab w:val="left" w:pos="284"/>
              </w:tabs>
              <w:spacing w:before="120" w:after="120"/>
              <w:ind w:hanging="720"/>
              <w:rPr>
                <w:rFonts w:ascii="Arial" w:eastAsiaTheme="minorEastAsia" w:hAnsi="Arial" w:cs="Arial"/>
                <w:sz w:val="16"/>
                <w:szCs w:val="16"/>
              </w:rPr>
            </w:pPr>
            <w:r>
              <w:rPr>
                <w:rFonts w:ascii="Arial" w:eastAsiaTheme="minorEastAsia" w:hAnsi="Arial" w:cs="Arial"/>
                <w:sz w:val="16"/>
                <w:szCs w:val="16"/>
                <w:lang w:val="en-GB"/>
              </w:rPr>
              <w:t>P</w:t>
            </w:r>
            <w:r>
              <w:rPr>
                <w:rFonts w:ascii="Arial" w:eastAsiaTheme="minorEastAsia" w:hAnsi="Arial" w:cs="Arial" w:hint="eastAsia"/>
                <w:sz w:val="16"/>
                <w:szCs w:val="16"/>
                <w:lang w:val="en-GB"/>
              </w:rPr>
              <w:t>3</w:t>
            </w:r>
            <w:r>
              <w:rPr>
                <w:rFonts w:ascii="Arial" w:eastAsiaTheme="minorEastAsia" w:hAnsi="Arial" w:cs="Arial"/>
                <w:sz w:val="16"/>
                <w:szCs w:val="16"/>
                <w:lang w:val="en-GB"/>
              </w:rPr>
              <w:t>: the remaining UEs have the lowest priority.</w:t>
            </w:r>
          </w:p>
        </w:tc>
        <w:tc>
          <w:tcPr>
            <w:tcW w:w="4297"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D654D7" w:rsidRDefault="00BD0615" w:rsidP="006C3DF7">
            <w:pPr>
              <w:numPr>
                <w:ilvl w:val="0"/>
                <w:numId w:val="16"/>
              </w:numPr>
              <w:tabs>
                <w:tab w:val="clear" w:pos="720"/>
                <w:tab w:val="left" w:pos="317"/>
              </w:tabs>
              <w:spacing w:before="120" w:after="120"/>
              <w:ind w:left="317" w:hanging="283"/>
              <w:rPr>
                <w:rFonts w:ascii="Arial" w:eastAsiaTheme="minorEastAsia" w:hAnsi="Arial" w:cs="Arial"/>
                <w:sz w:val="16"/>
                <w:szCs w:val="16"/>
                <w:lang w:val="en-GB"/>
              </w:rPr>
            </w:pPr>
            <w:r>
              <w:rPr>
                <w:rFonts w:ascii="Arial" w:eastAsiaTheme="minorEastAsia" w:hAnsi="Arial" w:cs="Arial" w:hint="eastAsia"/>
                <w:sz w:val="16"/>
                <w:szCs w:val="16"/>
                <w:lang w:val="en-GB"/>
              </w:rPr>
              <w:t>P0</w:t>
            </w:r>
            <w:r>
              <w:rPr>
                <w:rFonts w:ascii="Arial" w:eastAsiaTheme="minorEastAsia" w:hAnsi="Arial" w:cs="Arial"/>
                <w:sz w:val="16"/>
                <w:szCs w:val="16"/>
                <w:lang w:val="en-GB"/>
              </w:rPr>
              <w:t>’</w:t>
            </w:r>
            <w:r>
              <w:rPr>
                <w:rFonts w:ascii="Arial" w:eastAsiaTheme="minorEastAsia" w:hAnsi="Arial" w:cs="Arial" w:hint="eastAsia"/>
                <w:sz w:val="16"/>
                <w:szCs w:val="16"/>
                <w:lang w:val="en-GB"/>
              </w:rPr>
              <w:t>: gNB/eNB</w:t>
            </w:r>
          </w:p>
          <w:p w:rsidR="00D654D7" w:rsidRDefault="00BD0615" w:rsidP="006C3DF7">
            <w:pPr>
              <w:numPr>
                <w:ilvl w:val="0"/>
                <w:numId w:val="16"/>
              </w:numPr>
              <w:tabs>
                <w:tab w:val="clear" w:pos="720"/>
                <w:tab w:val="left" w:pos="317"/>
              </w:tabs>
              <w:spacing w:before="120" w:after="120"/>
              <w:ind w:left="317" w:hanging="283"/>
              <w:rPr>
                <w:rFonts w:ascii="Arial" w:eastAsiaTheme="minorEastAsia" w:hAnsi="Arial" w:cs="Arial"/>
                <w:sz w:val="16"/>
                <w:szCs w:val="16"/>
                <w:lang w:val="en-GB"/>
              </w:rPr>
            </w:pPr>
            <w:r>
              <w:rPr>
                <w:rFonts w:ascii="Arial" w:eastAsiaTheme="minorEastAsia" w:hAnsi="Arial" w:cs="Arial"/>
                <w:sz w:val="16"/>
                <w:szCs w:val="16"/>
                <w:lang w:val="en-GB"/>
              </w:rPr>
              <w:t xml:space="preserve">P1’: UE directly synchronized to </w:t>
            </w:r>
            <w:r>
              <w:rPr>
                <w:rFonts w:ascii="Arial" w:eastAsiaTheme="minorEastAsia" w:hAnsi="Arial" w:cs="Arial"/>
                <w:sz w:val="16"/>
                <w:szCs w:val="16"/>
              </w:rPr>
              <w:t>gNB/</w:t>
            </w:r>
            <w:r>
              <w:rPr>
                <w:rFonts w:ascii="Arial" w:eastAsiaTheme="minorEastAsia" w:hAnsi="Arial" w:cs="Arial"/>
                <w:sz w:val="16"/>
                <w:szCs w:val="16"/>
                <w:lang w:val="en-GB"/>
              </w:rPr>
              <w:t xml:space="preserve">eNB </w:t>
            </w:r>
          </w:p>
          <w:p w:rsidR="00D654D7" w:rsidRDefault="00BD0615" w:rsidP="006C3DF7">
            <w:pPr>
              <w:numPr>
                <w:ilvl w:val="0"/>
                <w:numId w:val="16"/>
              </w:numPr>
              <w:tabs>
                <w:tab w:val="clear" w:pos="720"/>
                <w:tab w:val="left" w:pos="317"/>
              </w:tabs>
              <w:spacing w:before="120" w:after="120"/>
              <w:ind w:left="317" w:hanging="283"/>
              <w:rPr>
                <w:rFonts w:ascii="Arial" w:eastAsiaTheme="minorEastAsia" w:hAnsi="Arial" w:cs="Arial"/>
                <w:sz w:val="16"/>
                <w:szCs w:val="16"/>
                <w:lang w:val="en-GB"/>
              </w:rPr>
            </w:pPr>
            <w:r>
              <w:rPr>
                <w:rFonts w:ascii="Arial" w:eastAsiaTheme="minorEastAsia" w:hAnsi="Arial" w:cs="Arial"/>
                <w:sz w:val="16"/>
                <w:szCs w:val="16"/>
                <w:lang w:val="en-GB"/>
              </w:rPr>
              <w:t xml:space="preserve">P2’: UE indirectly synchronized to </w:t>
            </w:r>
            <w:r>
              <w:rPr>
                <w:rFonts w:ascii="Arial" w:eastAsiaTheme="minorEastAsia" w:hAnsi="Arial" w:cs="Arial"/>
                <w:sz w:val="16"/>
                <w:szCs w:val="16"/>
              </w:rPr>
              <w:t>gNB/</w:t>
            </w:r>
            <w:r>
              <w:rPr>
                <w:rFonts w:ascii="Arial" w:eastAsiaTheme="minorEastAsia" w:hAnsi="Arial" w:cs="Arial"/>
                <w:sz w:val="16"/>
                <w:szCs w:val="16"/>
                <w:lang w:val="en-GB"/>
              </w:rPr>
              <w:t xml:space="preserve">eNB </w:t>
            </w:r>
          </w:p>
          <w:p w:rsidR="00D654D7" w:rsidRDefault="00BD0615" w:rsidP="006C3DF7">
            <w:pPr>
              <w:numPr>
                <w:ilvl w:val="0"/>
                <w:numId w:val="16"/>
              </w:numPr>
              <w:tabs>
                <w:tab w:val="clear" w:pos="720"/>
                <w:tab w:val="left" w:pos="317"/>
              </w:tabs>
              <w:spacing w:before="120" w:after="120"/>
              <w:ind w:left="317" w:hanging="283"/>
              <w:rPr>
                <w:rFonts w:ascii="Arial" w:eastAsiaTheme="minorEastAsia" w:hAnsi="Arial" w:cs="Arial"/>
                <w:sz w:val="16"/>
                <w:szCs w:val="16"/>
                <w:lang w:val="en-GB"/>
              </w:rPr>
            </w:pPr>
            <w:r>
              <w:rPr>
                <w:rFonts w:ascii="Arial" w:eastAsiaTheme="minorEastAsia" w:hAnsi="Arial" w:cs="Arial"/>
                <w:sz w:val="16"/>
                <w:szCs w:val="16"/>
                <w:lang w:val="en-GB"/>
              </w:rPr>
              <w:t xml:space="preserve">P3’: GNSS </w:t>
            </w:r>
          </w:p>
          <w:p w:rsidR="00D654D7" w:rsidRDefault="00BD0615" w:rsidP="006C3DF7">
            <w:pPr>
              <w:numPr>
                <w:ilvl w:val="0"/>
                <w:numId w:val="16"/>
              </w:numPr>
              <w:tabs>
                <w:tab w:val="clear" w:pos="720"/>
                <w:tab w:val="left" w:pos="317"/>
              </w:tabs>
              <w:spacing w:before="120" w:after="120"/>
              <w:ind w:left="317" w:hanging="283"/>
              <w:rPr>
                <w:rFonts w:ascii="Arial" w:eastAsiaTheme="minorEastAsia" w:hAnsi="Arial" w:cs="Arial"/>
                <w:sz w:val="16"/>
                <w:szCs w:val="16"/>
                <w:lang w:val="en-GB"/>
              </w:rPr>
            </w:pPr>
            <w:r>
              <w:rPr>
                <w:rFonts w:ascii="Arial" w:eastAsiaTheme="minorEastAsia" w:hAnsi="Arial" w:cs="Arial"/>
                <w:sz w:val="16"/>
                <w:szCs w:val="16"/>
                <w:lang w:val="en-GB"/>
              </w:rPr>
              <w:t xml:space="preserve">P4’: UE directly synchronized to GNSS </w:t>
            </w:r>
          </w:p>
          <w:p w:rsidR="00D654D7" w:rsidRDefault="00BD0615" w:rsidP="006C3DF7">
            <w:pPr>
              <w:numPr>
                <w:ilvl w:val="0"/>
                <w:numId w:val="16"/>
              </w:numPr>
              <w:tabs>
                <w:tab w:val="clear" w:pos="720"/>
                <w:tab w:val="left" w:pos="317"/>
              </w:tabs>
              <w:spacing w:before="120" w:after="120"/>
              <w:ind w:left="317" w:hanging="283"/>
              <w:rPr>
                <w:rFonts w:ascii="Arial" w:eastAsiaTheme="minorEastAsia" w:hAnsi="Arial" w:cs="Arial"/>
                <w:sz w:val="16"/>
                <w:szCs w:val="16"/>
                <w:lang w:val="en-GB"/>
              </w:rPr>
            </w:pPr>
            <w:r>
              <w:rPr>
                <w:rFonts w:ascii="Arial" w:eastAsiaTheme="minorEastAsia" w:hAnsi="Arial" w:cs="Arial"/>
                <w:sz w:val="16"/>
                <w:szCs w:val="16"/>
                <w:lang w:val="en-GB"/>
              </w:rPr>
              <w:t>P5’: UE indirectly synchronized to GNSS</w:t>
            </w:r>
          </w:p>
          <w:p w:rsidR="00D654D7" w:rsidRDefault="00BD0615" w:rsidP="006C3DF7">
            <w:pPr>
              <w:numPr>
                <w:ilvl w:val="0"/>
                <w:numId w:val="16"/>
              </w:numPr>
              <w:tabs>
                <w:tab w:val="clear" w:pos="720"/>
                <w:tab w:val="left" w:pos="317"/>
              </w:tabs>
              <w:spacing w:before="120" w:after="120"/>
              <w:ind w:left="317" w:hanging="283"/>
              <w:rPr>
                <w:rFonts w:ascii="Arial" w:eastAsiaTheme="minorEastAsia" w:hAnsi="Arial" w:cs="Arial"/>
                <w:sz w:val="16"/>
                <w:szCs w:val="16"/>
                <w:lang w:val="en-GB"/>
              </w:rPr>
            </w:pPr>
            <w:r>
              <w:rPr>
                <w:rFonts w:ascii="Arial" w:eastAsiaTheme="minorEastAsia" w:hAnsi="Arial" w:cs="Arial"/>
                <w:sz w:val="16"/>
                <w:szCs w:val="16"/>
                <w:lang w:val="en-GB"/>
              </w:rPr>
              <w:t xml:space="preserve">P6’: the remaining UEs have the lowest priority. </w:t>
            </w:r>
          </w:p>
        </w:tc>
      </w:tr>
    </w:tbl>
    <w:p w:rsidR="00D654D7" w:rsidRDefault="00D654D7" w:rsidP="006C3DF7">
      <w:pPr>
        <w:snapToGrid w:val="0"/>
        <w:spacing w:before="120" w:after="120" w:line="22" w:lineRule="atLeast"/>
        <w:rPr>
          <w:sz w:val="20"/>
        </w:rPr>
      </w:pPr>
    </w:p>
    <w:p w:rsidR="00D654D7" w:rsidRDefault="00BD0615" w:rsidP="006C3DF7">
      <w:pPr>
        <w:pStyle w:val="YJ-Proposal"/>
        <w:snapToGrid w:val="0"/>
        <w:spacing w:before="120" w:after="120" w:line="260" w:lineRule="auto"/>
        <w:rPr>
          <w:szCs w:val="22"/>
          <w:lang w:val="en-US" w:eastAsia="zh-CN"/>
        </w:rPr>
      </w:pPr>
      <w:bookmarkStart w:id="18" w:name="_Toc7474995"/>
      <w:bookmarkStart w:id="19" w:name="_Toc16881444"/>
      <w:r>
        <w:rPr>
          <w:rFonts w:hint="eastAsia"/>
          <w:szCs w:val="22"/>
          <w:lang w:val="en-US" w:eastAsia="zh-CN"/>
        </w:rPr>
        <w:t>Confirm the WA in RAN1 #96 with UE directly synchronized to gNB/eNB added for P1 and UE indirectly synchronized to gNB/eNB added for P2 for the synchronization reference selection for out-of-coverage UE.</w:t>
      </w:r>
      <w:bookmarkEnd w:id="18"/>
      <w:bookmarkEnd w:id="19"/>
    </w:p>
    <w:p w:rsidR="00D654D7" w:rsidRDefault="00BD0615" w:rsidP="006C3DF7">
      <w:pPr>
        <w:snapToGrid w:val="0"/>
        <w:spacing w:before="120" w:after="120" w:line="260" w:lineRule="auto"/>
        <w:rPr>
          <w:sz w:val="20"/>
        </w:rPr>
      </w:pPr>
      <w:r>
        <w:rPr>
          <w:rFonts w:hint="eastAsia"/>
          <w:sz w:val="20"/>
        </w:rPr>
        <w:t xml:space="preserve">It is agreed that a UE selects the </w:t>
      </w:r>
      <w:r>
        <w:rPr>
          <w:sz w:val="20"/>
        </w:rPr>
        <w:t xml:space="preserve">available </w:t>
      </w:r>
      <w:r>
        <w:rPr>
          <w:rFonts w:hint="eastAsia"/>
          <w:sz w:val="20"/>
        </w:rPr>
        <w:t xml:space="preserve">synchronization </w:t>
      </w:r>
      <w:r>
        <w:rPr>
          <w:sz w:val="20"/>
        </w:rPr>
        <w:t>reference</w:t>
      </w:r>
      <w:r>
        <w:rPr>
          <w:rFonts w:hint="eastAsia"/>
          <w:sz w:val="20"/>
        </w:rPr>
        <w:t xml:space="preserve"> with the highest priority as the reference </w:t>
      </w:r>
      <w:r>
        <w:rPr>
          <w:sz w:val="20"/>
        </w:rPr>
        <w:t>to derive its transmission timing</w:t>
      </w:r>
      <w:r>
        <w:rPr>
          <w:rFonts w:hint="eastAsia"/>
          <w:sz w:val="20"/>
        </w:rPr>
        <w:t>. W</w:t>
      </w:r>
      <w:r>
        <w:rPr>
          <w:rFonts w:eastAsia="Malgun Gothic"/>
          <w:sz w:val="20"/>
        </w:rPr>
        <w:t>hen there are two or more references belonging to the same highest priority</w:t>
      </w:r>
      <w:r>
        <w:rPr>
          <w:rFonts w:hint="eastAsia"/>
          <w:sz w:val="20"/>
        </w:rPr>
        <w:t xml:space="preserve">, how to handle is </w:t>
      </w:r>
      <w:r>
        <w:rPr>
          <w:sz w:val="20"/>
        </w:rPr>
        <w:t>FFS</w:t>
      </w:r>
      <w:r>
        <w:rPr>
          <w:rFonts w:hint="eastAsia"/>
          <w:sz w:val="20"/>
        </w:rPr>
        <w:t>.</w:t>
      </w:r>
      <w:r>
        <w:rPr>
          <w:sz w:val="20"/>
        </w:rPr>
        <w:t xml:space="preserve"> </w:t>
      </w:r>
      <w:r>
        <w:rPr>
          <w:rFonts w:hint="eastAsia"/>
          <w:sz w:val="20"/>
        </w:rPr>
        <w:t xml:space="preserve">In our view, the further reference selection should be based on the RSRP of sidelink synchronization signal, </w:t>
      </w:r>
      <w:r>
        <w:rPr>
          <w:sz w:val="20"/>
        </w:rPr>
        <w:t>as</w:t>
      </w:r>
      <w:r>
        <w:rPr>
          <w:rFonts w:hint="eastAsia"/>
          <w:sz w:val="20"/>
        </w:rPr>
        <w:t xml:space="preserve"> in LTE V2X.</w:t>
      </w:r>
    </w:p>
    <w:p w:rsidR="00D654D7" w:rsidRDefault="00BD0615" w:rsidP="006C3DF7">
      <w:pPr>
        <w:pStyle w:val="YJ-Proposal"/>
        <w:snapToGrid w:val="0"/>
        <w:spacing w:before="120" w:after="120" w:line="260" w:lineRule="auto"/>
      </w:pPr>
      <w:bookmarkStart w:id="20" w:name="_Toc7474996"/>
      <w:bookmarkStart w:id="21" w:name="_Toc16881445"/>
      <w:r>
        <w:rPr>
          <w:rFonts w:hint="eastAsia"/>
          <w:lang w:val="en-US" w:eastAsia="zh-CN"/>
        </w:rPr>
        <w:t xml:space="preserve">When </w:t>
      </w:r>
      <w:r>
        <w:rPr>
          <w:rFonts w:eastAsia="宋体" w:hint="eastAsia"/>
          <w:lang w:val="en-US" w:eastAsia="zh-CN"/>
        </w:rPr>
        <w:t xml:space="preserve">there are </w:t>
      </w:r>
      <w:r>
        <w:rPr>
          <w:rFonts w:eastAsia="宋体"/>
          <w:lang w:val="en-US" w:eastAsia="zh-CN"/>
        </w:rPr>
        <w:t>more than one</w:t>
      </w:r>
      <w:r>
        <w:rPr>
          <w:rFonts w:eastAsia="宋体" w:hint="eastAsia"/>
          <w:lang w:val="en-US" w:eastAsia="zh-CN"/>
        </w:rPr>
        <w:t xml:space="preserve"> </w:t>
      </w:r>
      <w:r>
        <w:rPr>
          <w:rFonts w:eastAsia="宋体"/>
          <w:lang w:val="en-US" w:eastAsia="zh-CN"/>
        </w:rPr>
        <w:t xml:space="preserve">synchronization </w:t>
      </w:r>
      <w:r>
        <w:rPr>
          <w:rFonts w:eastAsia="宋体" w:hint="eastAsia"/>
          <w:lang w:val="en-US" w:eastAsia="zh-CN"/>
        </w:rPr>
        <w:t xml:space="preserve">references </w:t>
      </w:r>
      <w:r>
        <w:rPr>
          <w:rFonts w:eastAsia="宋体"/>
          <w:lang w:val="en-US" w:eastAsia="zh-CN"/>
        </w:rPr>
        <w:t xml:space="preserve">belonging to the </w:t>
      </w:r>
      <w:r>
        <w:rPr>
          <w:rFonts w:eastAsia="宋体" w:hint="eastAsia"/>
          <w:lang w:val="en-US" w:eastAsia="zh-CN"/>
        </w:rPr>
        <w:t xml:space="preserve">same </w:t>
      </w:r>
      <w:r>
        <w:rPr>
          <w:rFonts w:eastAsia="宋体"/>
          <w:lang w:val="en-US" w:eastAsia="zh-CN"/>
        </w:rPr>
        <w:t xml:space="preserve">highest </w:t>
      </w:r>
      <w:r>
        <w:rPr>
          <w:rFonts w:eastAsia="宋体" w:hint="eastAsia"/>
          <w:lang w:val="en-US" w:eastAsia="zh-CN"/>
        </w:rPr>
        <w:t>priority</w:t>
      </w:r>
      <w:r>
        <w:rPr>
          <w:rFonts w:eastAsia="宋体"/>
          <w:lang w:val="en-US" w:eastAsia="zh-CN"/>
        </w:rPr>
        <w:t xml:space="preserve">, </w:t>
      </w:r>
      <w:r>
        <w:rPr>
          <w:rFonts w:eastAsia="宋体" w:hint="eastAsia"/>
          <w:lang w:val="en-US" w:eastAsia="zh-CN"/>
        </w:rPr>
        <w:t xml:space="preserve">the UE should select reference </w:t>
      </w:r>
      <w:r>
        <w:rPr>
          <w:rFonts w:eastAsia="宋体"/>
          <w:lang w:val="en-US" w:eastAsia="zh-CN"/>
        </w:rPr>
        <w:t xml:space="preserve">UE </w:t>
      </w:r>
      <w:r>
        <w:rPr>
          <w:rFonts w:eastAsia="宋体" w:hint="eastAsia"/>
          <w:lang w:val="en-US" w:eastAsia="zh-CN"/>
        </w:rPr>
        <w:t>with the highest S-RSRP.</w:t>
      </w:r>
      <w:bookmarkEnd w:id="20"/>
      <w:bookmarkEnd w:id="21"/>
    </w:p>
    <w:p w:rsidR="00D654D7" w:rsidRDefault="00BD0615" w:rsidP="006C3DF7">
      <w:pPr>
        <w:adjustRightInd w:val="0"/>
        <w:snapToGrid w:val="0"/>
        <w:spacing w:before="120" w:after="120" w:line="260" w:lineRule="auto"/>
      </w:pPr>
      <w:r>
        <w:rPr>
          <w:rFonts w:cs="Arial" w:hint="eastAsia"/>
          <w:bCs/>
          <w:i/>
          <w:sz w:val="24"/>
          <w:szCs w:val="24"/>
          <w:u w:val="single"/>
        </w:rPr>
        <w:t>UE capability of S-SSB transmission</w:t>
      </w:r>
    </w:p>
    <w:p w:rsidR="00D654D7" w:rsidRDefault="00BD0615" w:rsidP="006C3DF7">
      <w:pPr>
        <w:snapToGrid w:val="0"/>
        <w:spacing w:before="120" w:after="120" w:line="22" w:lineRule="atLeast"/>
        <w:rPr>
          <w:sz w:val="20"/>
          <w:szCs w:val="22"/>
        </w:rPr>
      </w:pPr>
      <w:r>
        <w:rPr>
          <w:rFonts w:hint="eastAsia"/>
          <w:sz w:val="20"/>
          <w:szCs w:val="22"/>
        </w:rPr>
        <w:t>Sidelink communication requires sidelink synchronization, which can be based on synchronization to GNSS or network. If a UE cannot synchronize to GNSS or network directly, it can derive sidelink timing by detecting S-SSB (including SLSS) from other UEs that either directly or indirectly synchronize to GNSS or network. If some UEs are not capable of S-SSB transmission, the proximate UEs cannot finish initial synchronization, nor can they perform sidelink communication. For example, in partial coverage scenario, as shown in Figure 8, the out-of-coverage UE (e.g., UE1, UE3) and the in-coverage UE (e.g., UE2) may be aligned to different timings (e.g., network timing, GNSS timing and UE local timing). If both UE1, UE2 and UE3 are not capable of S-SSB transmission, they could not achieve sidelink communication.</w:t>
      </w:r>
    </w:p>
    <w:p w:rsidR="00D654D7" w:rsidRDefault="00D654D7" w:rsidP="006C3DF7">
      <w:pPr>
        <w:spacing w:before="120" w:after="120"/>
        <w:jc w:val="center"/>
      </w:pPr>
      <w:r>
        <w:object w:dxaOrig="5443" w:dyaOrig="3711">
          <v:shape id="_x0000_i1030" type="#_x0000_t75" style="width:272.35pt;height:154.65pt" o:ole="">
            <v:imagedata r:id="rId22" o:title=""/>
          </v:shape>
          <o:OLEObject Type="Embed" ProgID="Visio.Drawing.11" ShapeID="_x0000_i1030" DrawAspect="Content" ObjectID="_1627494892" r:id="rId23"/>
        </w:object>
      </w:r>
    </w:p>
    <w:p w:rsidR="00D654D7" w:rsidRDefault="00BD0615" w:rsidP="006C3DF7">
      <w:pPr>
        <w:adjustRightInd w:val="0"/>
        <w:snapToGrid w:val="0"/>
        <w:spacing w:before="120" w:after="120" w:line="260" w:lineRule="auto"/>
        <w:jc w:val="center"/>
      </w:pPr>
      <w:r>
        <w:rPr>
          <w:rFonts w:hint="eastAsia"/>
          <w:sz w:val="20"/>
        </w:rPr>
        <w:t xml:space="preserve">Fig. 8 </w:t>
      </w:r>
      <w:r>
        <w:rPr>
          <w:sz w:val="20"/>
        </w:rPr>
        <w:t xml:space="preserve">Synchronization issue </w:t>
      </w:r>
      <w:r>
        <w:rPr>
          <w:rFonts w:eastAsia="DengXian" w:hint="eastAsia"/>
          <w:sz w:val="20"/>
        </w:rPr>
        <w:t xml:space="preserve">between </w:t>
      </w:r>
      <w:r>
        <w:rPr>
          <w:sz w:val="20"/>
        </w:rPr>
        <w:t>UEs with difference sync. references</w:t>
      </w:r>
    </w:p>
    <w:p w:rsidR="00D654D7" w:rsidRDefault="00BD0615" w:rsidP="006C3DF7">
      <w:pPr>
        <w:pStyle w:val="YJ-Proposal"/>
        <w:snapToGrid w:val="0"/>
        <w:spacing w:before="120" w:after="120"/>
      </w:pPr>
      <w:bookmarkStart w:id="22" w:name="_Toc7474998"/>
      <w:bookmarkStart w:id="23" w:name="_Toc16881446"/>
      <w:r>
        <w:rPr>
          <w:rFonts w:eastAsia="宋体"/>
          <w:lang w:val="en-US" w:eastAsia="zh-CN"/>
        </w:rPr>
        <w:t xml:space="preserve">NR V2X UE should </w:t>
      </w:r>
      <w:r>
        <w:rPr>
          <w:rFonts w:eastAsia="宋体" w:hint="eastAsia"/>
          <w:lang w:val="en-US" w:eastAsia="zh-CN"/>
        </w:rPr>
        <w:t>have the capability</w:t>
      </w:r>
      <w:r>
        <w:rPr>
          <w:rFonts w:eastAsia="宋体"/>
          <w:lang w:val="en-US" w:eastAsia="zh-CN"/>
        </w:rPr>
        <w:t xml:space="preserve"> of S-SSB transmission.</w:t>
      </w:r>
      <w:bookmarkEnd w:id="22"/>
      <w:bookmarkEnd w:id="23"/>
    </w:p>
    <w:p w:rsidR="00D654D7" w:rsidRDefault="00D654D7" w:rsidP="006C3DF7">
      <w:pPr>
        <w:pStyle w:val="YJ-Observation"/>
        <w:numPr>
          <w:ilvl w:val="255"/>
          <w:numId w:val="0"/>
        </w:numPr>
        <w:tabs>
          <w:tab w:val="clear" w:pos="0"/>
        </w:tabs>
        <w:spacing w:before="120" w:after="120"/>
        <w:rPr>
          <w:lang w:val="en-US" w:eastAsia="zh-CN"/>
        </w:rPr>
      </w:pPr>
      <w:bookmarkStart w:id="24" w:name="_Toc27407"/>
      <w:bookmarkStart w:id="25" w:name="_Toc19611"/>
      <w:bookmarkStart w:id="26" w:name="_Toc21424"/>
      <w:bookmarkStart w:id="27" w:name="_Toc25073"/>
      <w:bookmarkEnd w:id="24"/>
      <w:bookmarkEnd w:id="25"/>
      <w:bookmarkEnd w:id="26"/>
      <w:bookmarkEnd w:id="27"/>
    </w:p>
    <w:p w:rsidR="00D654D7" w:rsidRDefault="00BD0615" w:rsidP="006C3DF7">
      <w:pPr>
        <w:pStyle w:val="Heading1"/>
        <w:spacing w:before="120" w:after="120"/>
        <w:ind w:left="0"/>
        <w:rPr>
          <w:rFonts w:eastAsia="宋体"/>
        </w:rPr>
      </w:pPr>
      <w:r>
        <w:rPr>
          <w:rFonts w:eastAsia="宋体" w:hint="eastAsia"/>
        </w:rPr>
        <w:lastRenderedPageBreak/>
        <w:t>Conclusion</w:t>
      </w:r>
    </w:p>
    <w:p w:rsidR="00D654D7" w:rsidRDefault="00BD0615" w:rsidP="006C3DF7">
      <w:pPr>
        <w:spacing w:before="120" w:after="120"/>
        <w:rPr>
          <w:szCs w:val="22"/>
        </w:rPr>
      </w:pPr>
      <w:r>
        <w:rPr>
          <w:sz w:val="20"/>
        </w:rPr>
        <w:t>This contribution focuses on synchronization mechanism for NR V2X. It provides the following proposals</w:t>
      </w:r>
      <w:r>
        <w:rPr>
          <w:rFonts w:hint="eastAsia"/>
          <w:sz w:val="20"/>
        </w:rPr>
        <w:t xml:space="preserve"> and observations</w:t>
      </w:r>
      <w:r>
        <w:rPr>
          <w:sz w:val="20"/>
        </w:rPr>
        <w:t>:</w:t>
      </w:r>
    </w:p>
    <w:p w:rsidR="00C0741A" w:rsidRDefault="00D654D7" w:rsidP="00C0741A">
      <w:pPr>
        <w:pStyle w:val="TOC1"/>
        <w:tabs>
          <w:tab w:val="left" w:pos="1540"/>
          <w:tab w:val="right" w:leader="dot" w:pos="9650"/>
        </w:tabs>
        <w:spacing w:before="120" w:after="120"/>
        <w:rPr>
          <w:rFonts w:asciiTheme="minorHAnsi" w:hAnsiTheme="minorHAnsi" w:cstheme="minorBidi"/>
          <w:b w:val="0"/>
          <w:i w:val="0"/>
          <w:noProof/>
          <w:kern w:val="0"/>
          <w:sz w:val="22"/>
          <w:szCs w:val="22"/>
        </w:rPr>
      </w:pPr>
      <w:r w:rsidRPr="00D654D7">
        <w:rPr>
          <w:sz w:val="21"/>
          <w:szCs w:val="22"/>
        </w:rPr>
        <w:fldChar w:fldCharType="begin"/>
      </w:r>
      <w:r w:rsidR="00BD0615">
        <w:rPr>
          <w:sz w:val="21"/>
          <w:szCs w:val="22"/>
        </w:rPr>
        <w:instrText>TOC \n  \t "YJ-Observation,1,sub-observation,2" \h</w:instrText>
      </w:r>
      <w:r w:rsidRPr="00D654D7">
        <w:rPr>
          <w:sz w:val="21"/>
          <w:szCs w:val="22"/>
        </w:rPr>
        <w:fldChar w:fldCharType="separate"/>
      </w:r>
      <w:hyperlink w:anchor="_Toc16881433" w:history="1">
        <w:r w:rsidR="00C0741A" w:rsidRPr="002E6D32">
          <w:rPr>
            <w:rStyle w:val="Hyperlink"/>
            <w:rFonts w:eastAsia="宋体"/>
            <w:noProof/>
          </w:rPr>
          <w:t>Observation 1:</w:t>
        </w:r>
        <w:r w:rsidR="00C0741A">
          <w:rPr>
            <w:rFonts w:asciiTheme="minorHAnsi" w:hAnsiTheme="minorHAnsi" w:cstheme="minorBidi"/>
            <w:b w:val="0"/>
            <w:i w:val="0"/>
            <w:noProof/>
            <w:kern w:val="0"/>
            <w:sz w:val="22"/>
            <w:szCs w:val="22"/>
          </w:rPr>
          <w:tab/>
        </w:r>
        <w:r w:rsidR="00C0741A" w:rsidRPr="002E6D32">
          <w:rPr>
            <w:rStyle w:val="Hyperlink"/>
            <w:noProof/>
          </w:rPr>
          <w:t>For PSBCH, FDM DMRS pattern shows better performance than TDM DMRS pattern.</w:t>
        </w:r>
      </w:hyperlink>
    </w:p>
    <w:p w:rsidR="00C0741A" w:rsidRDefault="00C0741A" w:rsidP="00C0741A">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16881434" w:history="1">
        <w:r w:rsidRPr="002E6D32">
          <w:rPr>
            <w:rStyle w:val="Hyperlink"/>
            <w:rFonts w:eastAsia="宋体"/>
            <w:noProof/>
          </w:rPr>
          <w:t>Observation 2:</w:t>
        </w:r>
        <w:r>
          <w:rPr>
            <w:rFonts w:asciiTheme="minorHAnsi" w:hAnsiTheme="minorHAnsi" w:cstheme="minorBidi"/>
            <w:b w:val="0"/>
            <w:i w:val="0"/>
            <w:noProof/>
            <w:kern w:val="0"/>
            <w:sz w:val="22"/>
            <w:szCs w:val="22"/>
          </w:rPr>
          <w:tab/>
        </w:r>
        <w:r w:rsidRPr="002E6D32">
          <w:rPr>
            <w:rStyle w:val="Hyperlink"/>
            <w:noProof/>
          </w:rPr>
          <w:t>It is hardly achievable to keep the PSBCH payload size no more than 56 bits if TDD UL/DL configuration are fully indicated in PSBCH.</w:t>
        </w:r>
      </w:hyperlink>
    </w:p>
    <w:p w:rsidR="00D654D7" w:rsidRDefault="00D654D7" w:rsidP="006C3DF7">
      <w:pPr>
        <w:pStyle w:val="TOC1"/>
        <w:tabs>
          <w:tab w:val="right" w:leader="dot" w:pos="9660"/>
        </w:tabs>
        <w:spacing w:before="120" w:after="120"/>
        <w:rPr>
          <w:szCs w:val="22"/>
        </w:rPr>
      </w:pPr>
      <w:r>
        <w:rPr>
          <w:szCs w:val="22"/>
        </w:rPr>
        <w:fldChar w:fldCharType="end"/>
      </w:r>
    </w:p>
    <w:p w:rsidR="00C0741A" w:rsidRDefault="00D654D7"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r w:rsidRPr="00D654D7">
        <w:rPr>
          <w:szCs w:val="22"/>
        </w:rPr>
        <w:fldChar w:fldCharType="begin"/>
      </w:r>
      <w:r w:rsidR="00BD0615">
        <w:rPr>
          <w:szCs w:val="22"/>
        </w:rPr>
        <w:instrText>TOC \n  \t "YJ-Proposal,1,sub-proposal,2" \h</w:instrText>
      </w:r>
      <w:r w:rsidRPr="00D654D7">
        <w:rPr>
          <w:szCs w:val="22"/>
        </w:rPr>
        <w:fldChar w:fldCharType="separate"/>
      </w:r>
      <w:hyperlink w:anchor="_Toc16881436" w:history="1">
        <w:r w:rsidR="00C0741A" w:rsidRPr="00F33A46">
          <w:rPr>
            <w:rStyle w:val="Hyperlink"/>
            <w:rFonts w:eastAsia="宋体"/>
            <w:noProof/>
          </w:rPr>
          <w:t>Proposal 1:</w:t>
        </w:r>
        <w:r w:rsidR="00C0741A">
          <w:rPr>
            <w:rFonts w:asciiTheme="minorHAnsi" w:hAnsiTheme="minorHAnsi" w:cstheme="minorBidi"/>
            <w:b w:val="0"/>
            <w:i w:val="0"/>
            <w:noProof/>
            <w:kern w:val="0"/>
            <w:sz w:val="22"/>
            <w:szCs w:val="22"/>
          </w:rPr>
          <w:tab/>
        </w:r>
        <w:r w:rsidR="00C0741A" w:rsidRPr="00F33A46">
          <w:rPr>
            <w:rStyle w:val="Hyperlink"/>
            <w:noProof/>
          </w:rPr>
          <w:t>PSBCH DMRS is allocated on one of every 4 subcarriers and in every PSBCH symbol.</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37" w:history="1">
        <w:r w:rsidRPr="00F33A46">
          <w:rPr>
            <w:rStyle w:val="Hyperlink"/>
            <w:rFonts w:eastAsia="宋体"/>
            <w:noProof/>
          </w:rPr>
          <w:t>Proposal 2:</w:t>
        </w:r>
        <w:r>
          <w:rPr>
            <w:rFonts w:asciiTheme="minorHAnsi" w:hAnsiTheme="minorHAnsi" w:cstheme="minorBidi"/>
            <w:b w:val="0"/>
            <w:i w:val="0"/>
            <w:noProof/>
            <w:kern w:val="0"/>
            <w:sz w:val="22"/>
            <w:szCs w:val="22"/>
          </w:rPr>
          <w:tab/>
        </w:r>
        <w:r w:rsidRPr="00F33A46">
          <w:rPr>
            <w:rStyle w:val="Hyperlink"/>
            <w:noProof/>
          </w:rPr>
          <w:t xml:space="preserve">The S-SSB structure per symbol level is {N-symbol PSBCH, 2-symbol S-PSS, (6-N)-symbol PSBCH, 2-symbol S-SSS, Gap}, where </w:t>
        </w:r>
        <w:r w:rsidRPr="00F33A46">
          <w:rPr>
            <w:rStyle w:val="Hyperlink"/>
            <w:rFonts w:hint="eastAsia"/>
            <w:noProof/>
          </w:rPr>
          <w:t>1</w:t>
        </w:r>
        <w:r w:rsidRPr="00F33A46">
          <w:rPr>
            <w:rStyle w:val="Hyperlink"/>
            <w:rFonts w:hint="eastAsia"/>
            <w:noProof/>
          </w:rPr>
          <w:t>≤</w:t>
        </w:r>
        <w:r w:rsidRPr="00F33A46">
          <w:rPr>
            <w:rStyle w:val="Hyperlink"/>
            <w:rFonts w:hint="eastAsia"/>
            <w:noProof/>
          </w:rPr>
          <w:t>N</w:t>
        </w:r>
        <w:r w:rsidRPr="00F33A46">
          <w:rPr>
            <w:rStyle w:val="Hyperlink"/>
            <w:rFonts w:hint="eastAsia"/>
            <w:noProof/>
          </w:rPr>
          <w:t>≤</w:t>
        </w:r>
        <w:r w:rsidRPr="00F33A46">
          <w:rPr>
            <w:rStyle w:val="Hyperlink"/>
            <w:rFonts w:hint="eastAsia"/>
            <w:noProof/>
          </w:rPr>
          <w:t>6</w:t>
        </w:r>
        <w:r w:rsidRPr="00F33A46">
          <w:rPr>
            <w:rStyle w:val="Hyperlink"/>
            <w:noProof/>
          </w:rPr>
          <w:t>.</w:t>
        </w:r>
      </w:hyperlink>
    </w:p>
    <w:p w:rsidR="00C0741A" w:rsidRDefault="00C0741A" w:rsidP="00C0741A">
      <w:pPr>
        <w:pStyle w:val="TOC1"/>
        <w:tabs>
          <w:tab w:val="left" w:pos="420"/>
          <w:tab w:val="right" w:leader="dot" w:pos="9650"/>
        </w:tabs>
        <w:spacing w:before="120" w:after="120"/>
        <w:rPr>
          <w:rFonts w:asciiTheme="minorHAnsi" w:hAnsiTheme="minorHAnsi" w:cstheme="minorBidi"/>
          <w:b w:val="0"/>
          <w:i w:val="0"/>
          <w:noProof/>
          <w:kern w:val="0"/>
          <w:sz w:val="22"/>
          <w:szCs w:val="22"/>
        </w:rPr>
      </w:pPr>
      <w:hyperlink w:anchor="_Toc16881438" w:history="1">
        <w:r w:rsidRPr="00F33A46">
          <w:rPr>
            <w:rStyle w:val="Hyperlink"/>
            <w:rFonts w:ascii="Symbol" w:hAnsi="Symbol"/>
            <w:noProof/>
          </w:rPr>
          <w:t></w:t>
        </w:r>
        <w:r>
          <w:rPr>
            <w:rFonts w:asciiTheme="minorHAnsi" w:hAnsiTheme="minorHAnsi" w:cstheme="minorBidi"/>
            <w:b w:val="0"/>
            <w:i w:val="0"/>
            <w:noProof/>
            <w:kern w:val="0"/>
            <w:sz w:val="22"/>
            <w:szCs w:val="22"/>
          </w:rPr>
          <w:tab/>
        </w:r>
        <w:r w:rsidRPr="00F33A46">
          <w:rPr>
            <w:rStyle w:val="Hyperlink"/>
            <w:noProof/>
          </w:rPr>
          <w:t>S-PSS and S-SSS/PSBCH have the same MPR.</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39" w:history="1">
        <w:r w:rsidRPr="00F33A46">
          <w:rPr>
            <w:rStyle w:val="Hyperlink"/>
            <w:rFonts w:eastAsia="宋体"/>
            <w:noProof/>
          </w:rPr>
          <w:t>Proposal 3:</w:t>
        </w:r>
        <w:r>
          <w:rPr>
            <w:rFonts w:asciiTheme="minorHAnsi" w:hAnsiTheme="minorHAnsi" w:cstheme="minorBidi"/>
            <w:b w:val="0"/>
            <w:i w:val="0"/>
            <w:noProof/>
            <w:kern w:val="0"/>
            <w:sz w:val="22"/>
            <w:szCs w:val="22"/>
          </w:rPr>
          <w:tab/>
        </w:r>
        <w:r w:rsidRPr="00F33A46">
          <w:rPr>
            <w:rStyle w:val="Hyperlink"/>
            <w:noProof/>
          </w:rPr>
          <w:t xml:space="preserve">Two </w:t>
        </w:r>
        <w:r w:rsidRPr="00F33A46">
          <w:rPr>
            <w:rStyle w:val="Hyperlink"/>
            <w:rFonts w:eastAsia="宋体"/>
            <w:noProof/>
          </w:rPr>
          <w:t>sets of candidate synchronization resources with TDM in a synchronization resource period should be supported.</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40" w:history="1">
        <w:r w:rsidRPr="00F33A46">
          <w:rPr>
            <w:rStyle w:val="Hyperlink"/>
            <w:rFonts w:eastAsia="宋体"/>
            <w:noProof/>
          </w:rPr>
          <w:t>Proposal 4:</w:t>
        </w:r>
        <w:r>
          <w:rPr>
            <w:rFonts w:asciiTheme="minorHAnsi" w:hAnsiTheme="minorHAnsi" w:cstheme="minorBidi"/>
            <w:b w:val="0"/>
            <w:i w:val="0"/>
            <w:noProof/>
            <w:kern w:val="0"/>
            <w:sz w:val="22"/>
            <w:szCs w:val="22"/>
          </w:rPr>
          <w:tab/>
        </w:r>
        <w:r w:rsidRPr="00F33A46">
          <w:rPr>
            <w:rStyle w:val="Hyperlink"/>
            <w:noProof/>
          </w:rPr>
          <w:t xml:space="preserve">The </w:t>
        </w:r>
        <w:r w:rsidRPr="00F33A46">
          <w:rPr>
            <w:rStyle w:val="Hyperlink"/>
            <w:rFonts w:eastAsia="宋体"/>
            <w:noProof/>
          </w:rPr>
          <w:t xml:space="preserve">number </w:t>
        </w:r>
        <w:r w:rsidRPr="00F33A46">
          <w:rPr>
            <w:rStyle w:val="Hyperlink"/>
            <w:noProof/>
          </w:rPr>
          <w:t>of S-SSB(s) transmitted within P1 should be fixed per SCS. 160 ms is supported for P1.</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41" w:history="1">
        <w:r w:rsidRPr="00F33A46">
          <w:rPr>
            <w:rStyle w:val="Hyperlink"/>
            <w:rFonts w:eastAsia="宋体"/>
            <w:noProof/>
          </w:rPr>
          <w:t>Proposal 5:</w:t>
        </w:r>
        <w:r>
          <w:rPr>
            <w:rFonts w:asciiTheme="minorHAnsi" w:hAnsiTheme="minorHAnsi" w:cstheme="minorBidi"/>
            <w:b w:val="0"/>
            <w:i w:val="0"/>
            <w:noProof/>
            <w:kern w:val="0"/>
            <w:sz w:val="22"/>
            <w:szCs w:val="22"/>
          </w:rPr>
          <w:tab/>
        </w:r>
        <w:r w:rsidRPr="00F33A46">
          <w:rPr>
            <w:rStyle w:val="Hyperlink"/>
            <w:rFonts w:eastAsia="宋体"/>
            <w:noProof/>
          </w:rPr>
          <w:t xml:space="preserve">PSBCH should carry at least </w:t>
        </w:r>
        <w:r w:rsidRPr="00F33A46">
          <w:rPr>
            <w:rStyle w:val="Hyperlink"/>
            <w:noProof/>
          </w:rPr>
          <w:t>SFN/DFN, S-SSB index and direct synchronization indicator.</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42" w:history="1">
        <w:r w:rsidRPr="00F33A46">
          <w:rPr>
            <w:rStyle w:val="Hyperlink"/>
            <w:rFonts w:eastAsia="宋体"/>
            <w:noProof/>
          </w:rPr>
          <w:t>Proposal 6:</w:t>
        </w:r>
        <w:r>
          <w:rPr>
            <w:rFonts w:asciiTheme="minorHAnsi" w:hAnsiTheme="minorHAnsi" w:cstheme="minorBidi"/>
            <w:b w:val="0"/>
            <w:i w:val="0"/>
            <w:noProof/>
            <w:kern w:val="0"/>
            <w:sz w:val="22"/>
            <w:szCs w:val="22"/>
          </w:rPr>
          <w:tab/>
        </w:r>
        <w:r w:rsidRPr="00F33A46">
          <w:rPr>
            <w:rStyle w:val="Hyperlink"/>
            <w:noProof/>
          </w:rPr>
          <w:t>Information derived from UL/DL TDD configuration for sidelink should be indicated. The detail is FFS.</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43" w:history="1">
        <w:r w:rsidRPr="00F33A46">
          <w:rPr>
            <w:rStyle w:val="Hyperlink"/>
            <w:rFonts w:eastAsia="宋体"/>
            <w:noProof/>
          </w:rPr>
          <w:t>Proposal 7:</w:t>
        </w:r>
        <w:r>
          <w:rPr>
            <w:rFonts w:asciiTheme="minorHAnsi" w:hAnsiTheme="minorHAnsi" w:cstheme="minorBidi"/>
            <w:b w:val="0"/>
            <w:i w:val="0"/>
            <w:noProof/>
            <w:kern w:val="0"/>
            <w:sz w:val="22"/>
            <w:szCs w:val="22"/>
          </w:rPr>
          <w:tab/>
        </w:r>
        <w:r w:rsidRPr="00F33A46">
          <w:rPr>
            <w:rStyle w:val="Hyperlink"/>
            <w:noProof/>
          </w:rPr>
          <w:t xml:space="preserve">For the </w:t>
        </w:r>
        <w:r w:rsidRPr="00F33A46">
          <w:rPr>
            <w:rStyle w:val="Hyperlink"/>
            <w:rFonts w:eastAsia="宋体"/>
            <w:noProof/>
          </w:rPr>
          <w:t xml:space="preserve">in-coverage UEs, the mechanism of </w:t>
        </w:r>
        <w:r w:rsidRPr="00F33A46">
          <w:rPr>
            <w:rStyle w:val="Hyperlink"/>
            <w:noProof/>
          </w:rPr>
          <w:t>synchronization reference selection</w:t>
        </w:r>
        <w:r w:rsidRPr="00F33A46">
          <w:rPr>
            <w:rStyle w:val="Hyperlink"/>
            <w:rFonts w:eastAsia="宋体"/>
            <w:noProof/>
          </w:rPr>
          <w:t xml:space="preserve"> in LTE V2X is reused for NR V2X.</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44" w:history="1">
        <w:r w:rsidRPr="00F33A46">
          <w:rPr>
            <w:rStyle w:val="Hyperlink"/>
            <w:rFonts w:eastAsia="宋体"/>
            <w:noProof/>
          </w:rPr>
          <w:t>Proposal 8:</w:t>
        </w:r>
        <w:r>
          <w:rPr>
            <w:rFonts w:asciiTheme="minorHAnsi" w:hAnsiTheme="minorHAnsi" w:cstheme="minorBidi"/>
            <w:b w:val="0"/>
            <w:i w:val="0"/>
            <w:noProof/>
            <w:kern w:val="0"/>
            <w:sz w:val="22"/>
            <w:szCs w:val="22"/>
          </w:rPr>
          <w:tab/>
        </w:r>
        <w:r w:rsidRPr="00F33A46">
          <w:rPr>
            <w:rStyle w:val="Hyperlink"/>
            <w:noProof/>
          </w:rPr>
          <w:t>Confirm the WA in RAN1 #96 with UE directly synchronized to gNB/eNB added for P1 and UE indirectly synchronized to gNB/eNB added for P2 for the synchronization reference selection for out-of-coverage UE.</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45" w:history="1">
        <w:r w:rsidRPr="00F33A46">
          <w:rPr>
            <w:rStyle w:val="Hyperlink"/>
            <w:rFonts w:eastAsia="宋体"/>
            <w:noProof/>
          </w:rPr>
          <w:t>Proposal 9:</w:t>
        </w:r>
        <w:r>
          <w:rPr>
            <w:rFonts w:asciiTheme="minorHAnsi" w:hAnsiTheme="minorHAnsi" w:cstheme="minorBidi"/>
            <w:b w:val="0"/>
            <w:i w:val="0"/>
            <w:noProof/>
            <w:kern w:val="0"/>
            <w:sz w:val="22"/>
            <w:szCs w:val="22"/>
          </w:rPr>
          <w:tab/>
        </w:r>
        <w:r w:rsidRPr="00F33A46">
          <w:rPr>
            <w:rStyle w:val="Hyperlink"/>
            <w:noProof/>
          </w:rPr>
          <w:t xml:space="preserve">When </w:t>
        </w:r>
        <w:r w:rsidRPr="00F33A46">
          <w:rPr>
            <w:rStyle w:val="Hyperlink"/>
            <w:rFonts w:eastAsia="宋体"/>
            <w:noProof/>
          </w:rPr>
          <w:t>there are more than one synchronization references belonging to the same highest priority, the UE should select reference UE with the highest S-RSRP.</w:t>
        </w:r>
      </w:hyperlink>
    </w:p>
    <w:p w:rsidR="00C0741A" w:rsidRDefault="00C0741A" w:rsidP="00C0741A">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16881446" w:history="1">
        <w:r w:rsidRPr="00F33A46">
          <w:rPr>
            <w:rStyle w:val="Hyperlink"/>
            <w:rFonts w:eastAsia="宋体"/>
            <w:noProof/>
          </w:rPr>
          <w:t>Proposal 10:</w:t>
        </w:r>
        <w:r>
          <w:rPr>
            <w:rFonts w:asciiTheme="minorHAnsi" w:hAnsiTheme="minorHAnsi" w:cstheme="minorBidi"/>
            <w:b w:val="0"/>
            <w:i w:val="0"/>
            <w:noProof/>
            <w:kern w:val="0"/>
            <w:sz w:val="22"/>
            <w:szCs w:val="22"/>
          </w:rPr>
          <w:tab/>
        </w:r>
        <w:r w:rsidRPr="00F33A46">
          <w:rPr>
            <w:rStyle w:val="Hyperlink"/>
            <w:rFonts w:eastAsia="宋体"/>
            <w:noProof/>
          </w:rPr>
          <w:t>NR V2X UE should have the capability of S-SSB transmission.</w:t>
        </w:r>
      </w:hyperlink>
    </w:p>
    <w:p w:rsidR="00D654D7" w:rsidRDefault="00D654D7" w:rsidP="00660851">
      <w:pPr>
        <w:pStyle w:val="TOC1"/>
        <w:tabs>
          <w:tab w:val="right" w:leader="dot" w:pos="9660"/>
        </w:tabs>
        <w:spacing w:before="120" w:after="120"/>
      </w:pPr>
      <w:r>
        <w:fldChar w:fldCharType="end"/>
      </w:r>
    </w:p>
    <w:p w:rsidR="00D654D7" w:rsidRDefault="00BD0615" w:rsidP="006C3DF7">
      <w:pPr>
        <w:pStyle w:val="Heading1"/>
        <w:spacing w:before="120" w:after="120"/>
        <w:ind w:left="0"/>
        <w:rPr>
          <w:rFonts w:eastAsia="宋体"/>
        </w:rPr>
      </w:pPr>
      <w:r>
        <w:rPr>
          <w:rFonts w:eastAsia="宋体" w:hint="eastAsia"/>
        </w:rPr>
        <w:t>Reference</w:t>
      </w:r>
      <w:r>
        <w:rPr>
          <w:rFonts w:eastAsia="宋体"/>
        </w:rPr>
        <w:t>s</w:t>
      </w:r>
    </w:p>
    <w:p w:rsidR="00D654D7" w:rsidRDefault="00BD0615" w:rsidP="006C3DF7">
      <w:pPr>
        <w:pStyle w:val="References"/>
        <w:spacing w:before="120" w:after="120"/>
        <w:rPr>
          <w:sz w:val="20"/>
          <w:szCs w:val="22"/>
        </w:rPr>
      </w:pPr>
      <w:bookmarkStart w:id="28" w:name="_Ref17466"/>
      <w:r>
        <w:rPr>
          <w:rFonts w:hint="eastAsia"/>
          <w:sz w:val="20"/>
          <w:szCs w:val="22"/>
        </w:rPr>
        <w:t>RAN1 Chairman</w:t>
      </w:r>
      <w:r>
        <w:rPr>
          <w:sz w:val="20"/>
          <w:szCs w:val="22"/>
        </w:rPr>
        <w:t>’</w:t>
      </w:r>
      <w:r>
        <w:rPr>
          <w:rFonts w:hint="eastAsia"/>
          <w:sz w:val="20"/>
          <w:szCs w:val="22"/>
        </w:rPr>
        <w:t xml:space="preserve">s Notes, 3GPP TSG RAN WG1 Meeting #97, </w:t>
      </w:r>
      <w:r>
        <w:rPr>
          <w:rFonts w:hint="eastAsia"/>
          <w:sz w:val="20"/>
          <w:szCs w:val="22"/>
          <w:lang w:eastAsia="ja-JP"/>
        </w:rPr>
        <w:t xml:space="preserve">Reno, USA, 13th </w:t>
      </w:r>
      <w:r>
        <w:rPr>
          <w:rFonts w:hint="eastAsia"/>
          <w:sz w:val="20"/>
          <w:szCs w:val="22"/>
          <w:lang w:eastAsia="ja-JP"/>
        </w:rPr>
        <w:t>–</w:t>
      </w:r>
      <w:r>
        <w:rPr>
          <w:rFonts w:hint="eastAsia"/>
          <w:sz w:val="20"/>
          <w:szCs w:val="22"/>
          <w:lang w:eastAsia="ja-JP"/>
        </w:rPr>
        <w:t xml:space="preserve"> 17th, May 2019</w:t>
      </w:r>
      <w:r>
        <w:rPr>
          <w:rFonts w:hint="eastAsia"/>
          <w:sz w:val="20"/>
          <w:szCs w:val="22"/>
        </w:rPr>
        <w:t>.</w:t>
      </w:r>
    </w:p>
    <w:bookmarkEnd w:id="28"/>
    <w:p w:rsidR="00D654D7" w:rsidRDefault="00BD0615" w:rsidP="006C3DF7">
      <w:pPr>
        <w:pStyle w:val="References"/>
        <w:spacing w:before="120" w:after="120"/>
        <w:rPr>
          <w:sz w:val="20"/>
          <w:szCs w:val="22"/>
        </w:rPr>
      </w:pPr>
      <w:r>
        <w:rPr>
          <w:rFonts w:hint="eastAsia"/>
          <w:sz w:val="20"/>
          <w:szCs w:val="22"/>
        </w:rPr>
        <w:t>R1-1906465, Evaluation on DMRS patterns for PSBCH, ZTE, Sanechips</w:t>
      </w:r>
      <w:r>
        <w:rPr>
          <w:rFonts w:hint="eastAsia"/>
          <w:sz w:val="20"/>
          <w:szCs w:val="20"/>
        </w:rPr>
        <w:t>.</w:t>
      </w:r>
    </w:p>
    <w:p w:rsidR="00D654D7" w:rsidRDefault="00BD0615" w:rsidP="006C3DF7">
      <w:pPr>
        <w:pStyle w:val="References"/>
        <w:spacing w:before="120" w:after="120"/>
        <w:rPr>
          <w:sz w:val="20"/>
          <w:szCs w:val="22"/>
        </w:rPr>
      </w:pPr>
      <w:r>
        <w:rPr>
          <w:rFonts w:hint="eastAsia"/>
          <w:sz w:val="20"/>
          <w:szCs w:val="22"/>
        </w:rPr>
        <w:t xml:space="preserve">R1-1907977, Reply LS on NR V2X UE RF parameters for NR V2X service, 3GPP TSG RAN WG1 #98 </w:t>
      </w:r>
      <w:r>
        <w:rPr>
          <w:rFonts w:hint="eastAsia"/>
          <w:sz w:val="20"/>
          <w:szCs w:val="22"/>
          <w:lang w:eastAsia="ja-JP"/>
        </w:rPr>
        <w:t xml:space="preserve">Prague, CZ, August 26th </w:t>
      </w:r>
      <w:r>
        <w:rPr>
          <w:rFonts w:hint="eastAsia"/>
          <w:sz w:val="20"/>
          <w:szCs w:val="22"/>
          <w:lang w:eastAsia="ja-JP"/>
        </w:rPr>
        <w:t>–</w:t>
      </w:r>
      <w:r>
        <w:rPr>
          <w:rFonts w:hint="eastAsia"/>
          <w:sz w:val="20"/>
          <w:szCs w:val="22"/>
          <w:lang w:eastAsia="ja-JP"/>
        </w:rPr>
        <w:t xml:space="preserve"> 30th, 2019</w:t>
      </w:r>
      <w:r>
        <w:rPr>
          <w:rFonts w:hint="eastAsia"/>
          <w:sz w:val="20"/>
          <w:szCs w:val="22"/>
        </w:rPr>
        <w:t>.</w:t>
      </w:r>
    </w:p>
    <w:p w:rsidR="00D654D7" w:rsidRDefault="00D654D7" w:rsidP="006C3DF7">
      <w:pPr>
        <w:spacing w:before="120" w:after="120"/>
        <w:jc w:val="left"/>
      </w:pPr>
    </w:p>
    <w:p w:rsidR="00D654D7" w:rsidRDefault="00BD0615" w:rsidP="006C3DF7">
      <w:pPr>
        <w:pStyle w:val="Heading1"/>
        <w:adjustRightInd w:val="0"/>
        <w:snapToGrid w:val="0"/>
        <w:spacing w:before="120" w:after="120" w:line="260" w:lineRule="auto"/>
        <w:ind w:left="0"/>
        <w:rPr>
          <w:rFonts w:eastAsia="宋体"/>
        </w:rPr>
      </w:pPr>
      <w:r>
        <w:rPr>
          <w:rFonts w:eastAsia="宋体" w:hint="eastAsia"/>
          <w:szCs w:val="22"/>
        </w:rPr>
        <w:t>Appendix</w:t>
      </w:r>
      <w:r>
        <w:rPr>
          <w:rFonts w:hint="eastAsia"/>
        </w:rPr>
        <w:t xml:space="preserve">: </w:t>
      </w:r>
      <w:r>
        <w:rPr>
          <w:rFonts w:hint="eastAsia"/>
          <w:szCs w:val="22"/>
        </w:rPr>
        <w:t xml:space="preserve">Simulation </w:t>
      </w:r>
      <w:r>
        <w:rPr>
          <w:rFonts w:hint="eastAsia"/>
        </w:rPr>
        <w:t>assumptions</w:t>
      </w:r>
    </w:p>
    <w:p w:rsidR="00D654D7" w:rsidRDefault="00BD0615" w:rsidP="006C3DF7">
      <w:pPr>
        <w:pStyle w:val="References"/>
        <w:numPr>
          <w:ilvl w:val="0"/>
          <w:numId w:val="0"/>
        </w:numPr>
        <w:spacing w:before="120" w:after="120"/>
        <w:rPr>
          <w:sz w:val="20"/>
          <w:szCs w:val="20"/>
        </w:rPr>
      </w:pPr>
      <w:r>
        <w:rPr>
          <w:rFonts w:hint="eastAsia"/>
          <w:sz w:val="20"/>
          <w:szCs w:val="20"/>
        </w:rPr>
        <w:t>I: Simulation assumptions for PSBCH evaluation</w:t>
      </w:r>
    </w:p>
    <w:tbl>
      <w:tblPr>
        <w:tblStyle w:val="TableGrid"/>
        <w:tblW w:w="7452" w:type="dxa"/>
        <w:jc w:val="center"/>
        <w:tblLayout w:type="fixed"/>
        <w:tblLook w:val="04A0"/>
      </w:tblPr>
      <w:tblGrid>
        <w:gridCol w:w="2920"/>
        <w:gridCol w:w="4532"/>
      </w:tblGrid>
      <w:tr w:rsidR="00D654D7">
        <w:trPr>
          <w:jc w:val="center"/>
        </w:trPr>
        <w:tc>
          <w:tcPr>
            <w:tcW w:w="2920" w:type="dxa"/>
            <w:shd w:val="clear" w:color="auto" w:fill="D8D8D8" w:themeFill="background1" w:themeFillShade="D8"/>
            <w:vAlign w:val="center"/>
          </w:tcPr>
          <w:p w:rsidR="00D654D7" w:rsidRDefault="00BD0615" w:rsidP="006C3DF7">
            <w:pPr>
              <w:spacing w:before="120" w:after="120"/>
              <w:jc w:val="center"/>
            </w:pPr>
            <w:r>
              <w:rPr>
                <w:rFonts w:hint="eastAsia"/>
              </w:rPr>
              <w:t>Parameter</w:t>
            </w:r>
          </w:p>
        </w:tc>
        <w:tc>
          <w:tcPr>
            <w:tcW w:w="4532" w:type="dxa"/>
            <w:shd w:val="clear" w:color="auto" w:fill="D8D8D8" w:themeFill="background1" w:themeFillShade="D8"/>
            <w:vAlign w:val="center"/>
          </w:tcPr>
          <w:p w:rsidR="00D654D7" w:rsidRDefault="00BD0615" w:rsidP="006C3DF7">
            <w:pPr>
              <w:spacing w:before="120" w:after="120"/>
              <w:jc w:val="center"/>
            </w:pPr>
            <w:r>
              <w:rPr>
                <w:rFonts w:hint="eastAsia"/>
              </w:rPr>
              <w:t>Value</w:t>
            </w:r>
          </w:p>
        </w:tc>
      </w:tr>
      <w:tr w:rsidR="00D654D7">
        <w:trPr>
          <w:jc w:val="center"/>
        </w:trPr>
        <w:tc>
          <w:tcPr>
            <w:tcW w:w="2920" w:type="dxa"/>
            <w:vAlign w:val="center"/>
          </w:tcPr>
          <w:p w:rsidR="00D654D7" w:rsidRDefault="00BD0615" w:rsidP="006C3DF7">
            <w:pPr>
              <w:spacing w:before="120" w:after="120"/>
              <w:jc w:val="center"/>
            </w:pPr>
            <w:r>
              <w:rPr>
                <w:sz w:val="20"/>
              </w:rPr>
              <w:lastRenderedPageBreak/>
              <w:t>Carrier frequency</w:t>
            </w:r>
          </w:p>
        </w:tc>
        <w:tc>
          <w:tcPr>
            <w:tcW w:w="4532" w:type="dxa"/>
            <w:vAlign w:val="center"/>
          </w:tcPr>
          <w:p w:rsidR="00D654D7" w:rsidRDefault="00BD0615" w:rsidP="006C3DF7">
            <w:pPr>
              <w:spacing w:before="120" w:after="120"/>
              <w:jc w:val="center"/>
            </w:pPr>
            <w:r>
              <w:rPr>
                <w:sz w:val="20"/>
              </w:rPr>
              <w:t>6 GHz</w:t>
            </w:r>
          </w:p>
        </w:tc>
      </w:tr>
      <w:tr w:rsidR="00D654D7">
        <w:trPr>
          <w:jc w:val="center"/>
        </w:trPr>
        <w:tc>
          <w:tcPr>
            <w:tcW w:w="2920" w:type="dxa"/>
            <w:vAlign w:val="center"/>
          </w:tcPr>
          <w:p w:rsidR="00D654D7" w:rsidRDefault="00BD0615" w:rsidP="006C3DF7">
            <w:pPr>
              <w:spacing w:before="120" w:after="120"/>
              <w:jc w:val="center"/>
            </w:pPr>
            <w:r>
              <w:rPr>
                <w:sz w:val="20"/>
              </w:rPr>
              <w:t>Bandwidth</w:t>
            </w:r>
          </w:p>
        </w:tc>
        <w:tc>
          <w:tcPr>
            <w:tcW w:w="4532" w:type="dxa"/>
            <w:vAlign w:val="center"/>
          </w:tcPr>
          <w:p w:rsidR="00D654D7" w:rsidRDefault="00BD0615" w:rsidP="006C3DF7">
            <w:pPr>
              <w:spacing w:before="120" w:after="120"/>
              <w:jc w:val="center"/>
            </w:pPr>
            <w:r>
              <w:rPr>
                <w:rFonts w:hint="eastAsia"/>
                <w:sz w:val="20"/>
              </w:rPr>
              <w:t>11</w:t>
            </w:r>
            <w:r>
              <w:rPr>
                <w:sz w:val="20"/>
              </w:rPr>
              <w:t xml:space="preserve"> </w:t>
            </w:r>
            <w:r>
              <w:rPr>
                <w:rFonts w:hint="eastAsia"/>
                <w:sz w:val="20"/>
              </w:rPr>
              <w:t>RB</w:t>
            </w:r>
          </w:p>
        </w:tc>
      </w:tr>
      <w:tr w:rsidR="00D654D7">
        <w:trPr>
          <w:jc w:val="center"/>
        </w:trPr>
        <w:tc>
          <w:tcPr>
            <w:tcW w:w="2920" w:type="dxa"/>
            <w:vAlign w:val="center"/>
          </w:tcPr>
          <w:p w:rsidR="00D654D7" w:rsidRDefault="00BD0615" w:rsidP="006C3DF7">
            <w:pPr>
              <w:spacing w:before="120" w:after="120"/>
              <w:jc w:val="center"/>
            </w:pPr>
            <w:r>
              <w:rPr>
                <w:sz w:val="20"/>
              </w:rPr>
              <w:t>Channel</w:t>
            </w:r>
          </w:p>
        </w:tc>
        <w:tc>
          <w:tcPr>
            <w:tcW w:w="4532" w:type="dxa"/>
            <w:vAlign w:val="center"/>
          </w:tcPr>
          <w:p w:rsidR="00D654D7" w:rsidRDefault="00BD0615" w:rsidP="006C3DF7">
            <w:pPr>
              <w:spacing w:before="120" w:after="120"/>
              <w:jc w:val="center"/>
            </w:pPr>
            <w:r>
              <w:rPr>
                <w:sz w:val="20"/>
              </w:rPr>
              <w:t>urban-NLOS</w:t>
            </w:r>
          </w:p>
        </w:tc>
      </w:tr>
      <w:tr w:rsidR="00D654D7">
        <w:trPr>
          <w:jc w:val="center"/>
        </w:trPr>
        <w:tc>
          <w:tcPr>
            <w:tcW w:w="2920" w:type="dxa"/>
            <w:vAlign w:val="center"/>
          </w:tcPr>
          <w:p w:rsidR="00D654D7" w:rsidRDefault="00BD0615" w:rsidP="006C3DF7">
            <w:pPr>
              <w:spacing w:before="120" w:after="120"/>
              <w:jc w:val="center"/>
            </w:pPr>
            <w:r>
              <w:rPr>
                <w:sz w:val="20"/>
              </w:rPr>
              <w:t>MCS</w:t>
            </w:r>
          </w:p>
        </w:tc>
        <w:tc>
          <w:tcPr>
            <w:tcW w:w="4532" w:type="dxa"/>
            <w:vAlign w:val="center"/>
          </w:tcPr>
          <w:p w:rsidR="00D654D7" w:rsidRDefault="00BD0615" w:rsidP="006C3DF7">
            <w:pPr>
              <w:spacing w:before="120" w:after="120"/>
              <w:jc w:val="center"/>
            </w:pPr>
            <w:r>
              <w:rPr>
                <w:rFonts w:hint="eastAsia"/>
                <w:sz w:val="20"/>
              </w:rPr>
              <w:t>QPSK</w:t>
            </w:r>
          </w:p>
        </w:tc>
      </w:tr>
      <w:tr w:rsidR="00D654D7">
        <w:trPr>
          <w:jc w:val="center"/>
        </w:trPr>
        <w:tc>
          <w:tcPr>
            <w:tcW w:w="2920" w:type="dxa"/>
            <w:vAlign w:val="center"/>
          </w:tcPr>
          <w:p w:rsidR="00D654D7" w:rsidRDefault="00BD0615" w:rsidP="006C3DF7">
            <w:pPr>
              <w:spacing w:before="120" w:after="120"/>
              <w:jc w:val="center"/>
            </w:pPr>
            <w:r>
              <w:rPr>
                <w:rFonts w:hint="eastAsia"/>
                <w:sz w:val="20"/>
              </w:rPr>
              <w:t>Channel coding</w:t>
            </w:r>
          </w:p>
        </w:tc>
        <w:tc>
          <w:tcPr>
            <w:tcW w:w="4532" w:type="dxa"/>
            <w:vAlign w:val="center"/>
          </w:tcPr>
          <w:p w:rsidR="00D654D7" w:rsidRDefault="00BD0615" w:rsidP="006C3DF7">
            <w:pPr>
              <w:spacing w:before="120" w:after="120"/>
              <w:jc w:val="center"/>
            </w:pPr>
            <w:r>
              <w:rPr>
                <w:rFonts w:hint="eastAsia"/>
                <w:sz w:val="20"/>
              </w:rPr>
              <w:t>Polar</w:t>
            </w:r>
          </w:p>
        </w:tc>
      </w:tr>
      <w:tr w:rsidR="00D654D7">
        <w:trPr>
          <w:jc w:val="center"/>
        </w:trPr>
        <w:tc>
          <w:tcPr>
            <w:tcW w:w="2920" w:type="dxa"/>
            <w:vAlign w:val="center"/>
          </w:tcPr>
          <w:p w:rsidR="00D654D7" w:rsidRDefault="00BD0615" w:rsidP="006C3DF7">
            <w:pPr>
              <w:spacing w:before="120" w:after="120"/>
              <w:jc w:val="center"/>
            </w:pPr>
            <w:r>
              <w:rPr>
                <w:sz w:val="20"/>
              </w:rPr>
              <w:t>Subcarrier Spacing</w:t>
            </w:r>
          </w:p>
        </w:tc>
        <w:tc>
          <w:tcPr>
            <w:tcW w:w="4532" w:type="dxa"/>
            <w:vAlign w:val="center"/>
          </w:tcPr>
          <w:p w:rsidR="00D654D7" w:rsidRDefault="00BD0615" w:rsidP="006C3DF7">
            <w:pPr>
              <w:spacing w:before="120" w:after="120"/>
              <w:jc w:val="center"/>
            </w:pPr>
            <w:r>
              <w:rPr>
                <w:rFonts w:hint="eastAsia"/>
                <w:sz w:val="20"/>
              </w:rPr>
              <w:t>15k</w:t>
            </w:r>
            <w:r>
              <w:rPr>
                <w:sz w:val="20"/>
              </w:rPr>
              <w:t>Hz</w:t>
            </w:r>
          </w:p>
        </w:tc>
      </w:tr>
      <w:tr w:rsidR="00D654D7">
        <w:trPr>
          <w:jc w:val="center"/>
        </w:trPr>
        <w:tc>
          <w:tcPr>
            <w:tcW w:w="2920" w:type="dxa"/>
            <w:vAlign w:val="center"/>
          </w:tcPr>
          <w:p w:rsidR="00D654D7" w:rsidRDefault="00BD0615" w:rsidP="006C3DF7">
            <w:pPr>
              <w:spacing w:before="120" w:after="120"/>
              <w:jc w:val="center"/>
            </w:pPr>
            <w:r>
              <w:rPr>
                <w:sz w:val="20"/>
              </w:rPr>
              <w:t>Antenna configuration</w:t>
            </w:r>
          </w:p>
        </w:tc>
        <w:tc>
          <w:tcPr>
            <w:tcW w:w="4532" w:type="dxa"/>
            <w:vAlign w:val="center"/>
          </w:tcPr>
          <w:p w:rsidR="00D654D7" w:rsidRDefault="00BD0615" w:rsidP="006C3DF7">
            <w:pPr>
              <w:spacing w:before="120" w:after="120"/>
              <w:jc w:val="center"/>
            </w:pPr>
            <w:r>
              <w:rPr>
                <w:sz w:val="20"/>
              </w:rPr>
              <w:t>2T</w:t>
            </w:r>
            <w:r>
              <w:rPr>
                <w:rFonts w:hint="eastAsia"/>
                <w:sz w:val="20"/>
              </w:rPr>
              <w:t>*2</w:t>
            </w:r>
            <w:r>
              <w:rPr>
                <w:sz w:val="20"/>
              </w:rPr>
              <w:t>R</w:t>
            </w:r>
          </w:p>
        </w:tc>
      </w:tr>
      <w:tr w:rsidR="00D654D7">
        <w:trPr>
          <w:jc w:val="center"/>
        </w:trPr>
        <w:tc>
          <w:tcPr>
            <w:tcW w:w="2920" w:type="dxa"/>
            <w:vAlign w:val="center"/>
          </w:tcPr>
          <w:p w:rsidR="00D654D7" w:rsidRDefault="00BD0615" w:rsidP="006C3DF7">
            <w:pPr>
              <w:spacing w:before="120" w:after="120"/>
              <w:jc w:val="center"/>
            </w:pPr>
            <w:r>
              <w:t xml:space="preserve">UE (relative) </w:t>
            </w:r>
            <w:r>
              <w:rPr>
                <w:rFonts w:hint="eastAsia"/>
                <w:sz w:val="20"/>
              </w:rPr>
              <w:t>speed</w:t>
            </w:r>
          </w:p>
        </w:tc>
        <w:tc>
          <w:tcPr>
            <w:tcW w:w="4532" w:type="dxa"/>
            <w:vAlign w:val="center"/>
          </w:tcPr>
          <w:p w:rsidR="00D654D7" w:rsidRDefault="00BD0615" w:rsidP="006C3DF7">
            <w:pPr>
              <w:spacing w:before="120" w:after="120"/>
              <w:jc w:val="center"/>
            </w:pPr>
            <w:r>
              <w:rPr>
                <w:rFonts w:hint="eastAsia"/>
                <w:sz w:val="20"/>
              </w:rPr>
              <w:t>240/500</w:t>
            </w:r>
            <w:r>
              <w:rPr>
                <w:sz w:val="20"/>
              </w:rPr>
              <w:t xml:space="preserve"> </w:t>
            </w:r>
            <w:r>
              <w:rPr>
                <w:rFonts w:hint="eastAsia"/>
                <w:sz w:val="20"/>
              </w:rPr>
              <w:t>km/h</w:t>
            </w:r>
          </w:p>
        </w:tc>
      </w:tr>
      <w:tr w:rsidR="00D654D7">
        <w:trPr>
          <w:jc w:val="center"/>
        </w:trPr>
        <w:tc>
          <w:tcPr>
            <w:tcW w:w="2920" w:type="dxa"/>
            <w:vAlign w:val="center"/>
          </w:tcPr>
          <w:p w:rsidR="00D654D7" w:rsidRDefault="00BD0615" w:rsidP="006C3DF7">
            <w:pPr>
              <w:spacing w:before="120" w:after="120"/>
              <w:jc w:val="center"/>
              <w:rPr>
                <w:sz w:val="20"/>
              </w:rPr>
            </w:pPr>
            <w:r>
              <w:rPr>
                <w:rFonts w:hint="eastAsia"/>
                <w:sz w:val="20"/>
              </w:rPr>
              <w:t>SNR range</w:t>
            </w:r>
          </w:p>
        </w:tc>
        <w:tc>
          <w:tcPr>
            <w:tcW w:w="4532" w:type="dxa"/>
            <w:vAlign w:val="center"/>
          </w:tcPr>
          <w:p w:rsidR="00D654D7" w:rsidRDefault="00BD0615" w:rsidP="006C3DF7">
            <w:pPr>
              <w:spacing w:before="120" w:after="120"/>
              <w:jc w:val="center"/>
              <w:rPr>
                <w:sz w:val="20"/>
              </w:rPr>
            </w:pPr>
            <w:r>
              <w:rPr>
                <w:rFonts w:hint="eastAsia"/>
                <w:sz w:val="20"/>
              </w:rPr>
              <w:t>&gt; -6 dB</w:t>
            </w:r>
          </w:p>
        </w:tc>
      </w:tr>
      <w:tr w:rsidR="00D654D7">
        <w:trPr>
          <w:jc w:val="center"/>
        </w:trPr>
        <w:tc>
          <w:tcPr>
            <w:tcW w:w="2920" w:type="dxa"/>
            <w:vAlign w:val="center"/>
          </w:tcPr>
          <w:p w:rsidR="00D654D7" w:rsidRDefault="00BD0615" w:rsidP="006C3DF7">
            <w:pPr>
              <w:spacing w:before="120" w:after="120"/>
              <w:jc w:val="center"/>
              <w:rPr>
                <w:sz w:val="20"/>
              </w:rPr>
            </w:pPr>
            <w:r>
              <w:rPr>
                <w:rFonts w:hint="eastAsia"/>
                <w:sz w:val="20"/>
              </w:rPr>
              <w:t>Number of symbols for PSBCH</w:t>
            </w:r>
          </w:p>
        </w:tc>
        <w:tc>
          <w:tcPr>
            <w:tcW w:w="4532" w:type="dxa"/>
            <w:vAlign w:val="center"/>
          </w:tcPr>
          <w:p w:rsidR="00D654D7" w:rsidRDefault="00BD0615" w:rsidP="006C3DF7">
            <w:pPr>
              <w:spacing w:before="120" w:after="120"/>
              <w:jc w:val="center"/>
              <w:rPr>
                <w:sz w:val="20"/>
              </w:rPr>
            </w:pPr>
            <w:r>
              <w:rPr>
                <w:rFonts w:hint="eastAsia"/>
                <w:sz w:val="20"/>
              </w:rPr>
              <w:t>6</w:t>
            </w:r>
          </w:p>
        </w:tc>
      </w:tr>
      <w:tr w:rsidR="00D654D7">
        <w:trPr>
          <w:jc w:val="center"/>
        </w:trPr>
        <w:tc>
          <w:tcPr>
            <w:tcW w:w="2920" w:type="dxa"/>
            <w:vAlign w:val="center"/>
          </w:tcPr>
          <w:p w:rsidR="00D654D7" w:rsidRDefault="00BD0615" w:rsidP="006C3DF7">
            <w:pPr>
              <w:spacing w:before="120" w:after="120"/>
              <w:jc w:val="center"/>
              <w:rPr>
                <w:sz w:val="20"/>
              </w:rPr>
            </w:pPr>
            <w:r>
              <w:rPr>
                <w:sz w:val="20"/>
              </w:rPr>
              <w:t>PSBCH payload size</w:t>
            </w:r>
          </w:p>
        </w:tc>
        <w:tc>
          <w:tcPr>
            <w:tcW w:w="4532" w:type="dxa"/>
            <w:vAlign w:val="center"/>
          </w:tcPr>
          <w:p w:rsidR="00D654D7" w:rsidRDefault="00BD0615" w:rsidP="006C3DF7">
            <w:pPr>
              <w:spacing w:before="120" w:after="120"/>
              <w:jc w:val="center"/>
              <w:rPr>
                <w:sz w:val="20"/>
              </w:rPr>
            </w:pPr>
            <w:r>
              <w:rPr>
                <w:sz w:val="20"/>
              </w:rPr>
              <w:t>56 (including 24bits CRC)</w:t>
            </w:r>
          </w:p>
        </w:tc>
      </w:tr>
      <w:tr w:rsidR="00D654D7">
        <w:trPr>
          <w:jc w:val="center"/>
        </w:trPr>
        <w:tc>
          <w:tcPr>
            <w:tcW w:w="2920" w:type="dxa"/>
            <w:vAlign w:val="center"/>
          </w:tcPr>
          <w:p w:rsidR="00D654D7" w:rsidRDefault="00BD0615" w:rsidP="006C3DF7">
            <w:pPr>
              <w:spacing w:before="120" w:after="120"/>
              <w:jc w:val="center"/>
              <w:rPr>
                <w:sz w:val="20"/>
              </w:rPr>
            </w:pPr>
            <w:r>
              <w:rPr>
                <w:sz w:val="20"/>
              </w:rPr>
              <w:t>Receiver handling of first symbol used for AGC</w:t>
            </w:r>
          </w:p>
        </w:tc>
        <w:tc>
          <w:tcPr>
            <w:tcW w:w="4532" w:type="dxa"/>
            <w:vAlign w:val="center"/>
          </w:tcPr>
          <w:p w:rsidR="00D654D7" w:rsidRDefault="00BD0615" w:rsidP="006C3DF7">
            <w:pPr>
              <w:spacing w:before="120" w:after="120"/>
              <w:jc w:val="center"/>
              <w:rPr>
                <w:sz w:val="20"/>
              </w:rPr>
            </w:pPr>
            <w:r>
              <w:rPr>
                <w:sz w:val="20"/>
              </w:rPr>
              <w:t>In the 1</w:t>
            </w:r>
            <w:r>
              <w:rPr>
                <w:sz w:val="20"/>
                <w:vertAlign w:val="superscript"/>
              </w:rPr>
              <w:t>st</w:t>
            </w:r>
            <w:r>
              <w:rPr>
                <w:sz w:val="20"/>
              </w:rPr>
              <w:t xml:space="preserve"> symbol, DMRS REs are not used for channel estimation and data REs are punctured</w:t>
            </w:r>
          </w:p>
        </w:tc>
      </w:tr>
      <w:tr w:rsidR="00D654D7">
        <w:trPr>
          <w:jc w:val="center"/>
        </w:trPr>
        <w:tc>
          <w:tcPr>
            <w:tcW w:w="2920" w:type="dxa"/>
          </w:tcPr>
          <w:p w:rsidR="00D654D7" w:rsidRDefault="00BD0615" w:rsidP="006C3DF7">
            <w:pPr>
              <w:spacing w:before="120" w:after="120"/>
              <w:jc w:val="center"/>
              <w:rPr>
                <w:sz w:val="20"/>
              </w:rPr>
            </w:pPr>
            <w:r>
              <w:t>Channel estimation</w:t>
            </w:r>
          </w:p>
        </w:tc>
        <w:tc>
          <w:tcPr>
            <w:tcW w:w="4532" w:type="dxa"/>
          </w:tcPr>
          <w:p w:rsidR="00D654D7" w:rsidRDefault="00BD0615" w:rsidP="006C3DF7">
            <w:pPr>
              <w:spacing w:before="120" w:after="120"/>
              <w:jc w:val="center"/>
              <w:rPr>
                <w:sz w:val="20"/>
              </w:rPr>
            </w:pPr>
            <w:r>
              <w:t>MMSE</w:t>
            </w:r>
          </w:p>
        </w:tc>
      </w:tr>
    </w:tbl>
    <w:p w:rsidR="00D654D7" w:rsidRDefault="00D654D7" w:rsidP="006C3DF7">
      <w:pPr>
        <w:pStyle w:val="References"/>
        <w:numPr>
          <w:ilvl w:val="0"/>
          <w:numId w:val="0"/>
        </w:numPr>
        <w:spacing w:before="120" w:after="120"/>
        <w:rPr>
          <w:sz w:val="20"/>
          <w:szCs w:val="20"/>
        </w:rPr>
      </w:pPr>
    </w:p>
    <w:p w:rsidR="00D654D7" w:rsidRDefault="00BD0615" w:rsidP="006C3DF7">
      <w:pPr>
        <w:pStyle w:val="References"/>
        <w:numPr>
          <w:ilvl w:val="0"/>
          <w:numId w:val="0"/>
        </w:numPr>
        <w:spacing w:before="120" w:after="120"/>
        <w:rPr>
          <w:sz w:val="20"/>
          <w:szCs w:val="20"/>
        </w:rPr>
      </w:pPr>
      <w:r>
        <w:rPr>
          <w:rFonts w:hint="eastAsia"/>
          <w:sz w:val="20"/>
          <w:szCs w:val="20"/>
        </w:rPr>
        <w:t>II: Simulation assumptions for S-PSS/S-SSS evaluation</w:t>
      </w:r>
    </w:p>
    <w:tbl>
      <w:tblPr>
        <w:tblStyle w:val="TableGrid"/>
        <w:tblW w:w="7452" w:type="dxa"/>
        <w:jc w:val="center"/>
        <w:tblLayout w:type="fixed"/>
        <w:tblLook w:val="04A0"/>
      </w:tblPr>
      <w:tblGrid>
        <w:gridCol w:w="2920"/>
        <w:gridCol w:w="4532"/>
      </w:tblGrid>
      <w:tr w:rsidR="00D654D7">
        <w:trPr>
          <w:jc w:val="center"/>
        </w:trPr>
        <w:tc>
          <w:tcPr>
            <w:tcW w:w="2920" w:type="dxa"/>
            <w:shd w:val="clear" w:color="auto" w:fill="D8D8D8" w:themeFill="background1" w:themeFillShade="D8"/>
            <w:vAlign w:val="center"/>
          </w:tcPr>
          <w:p w:rsidR="00D654D7" w:rsidRDefault="00BD0615" w:rsidP="006C3DF7">
            <w:pPr>
              <w:spacing w:before="120" w:after="120"/>
              <w:jc w:val="center"/>
            </w:pPr>
            <w:r>
              <w:rPr>
                <w:rFonts w:hint="eastAsia"/>
              </w:rPr>
              <w:t>Parameter</w:t>
            </w:r>
          </w:p>
        </w:tc>
        <w:tc>
          <w:tcPr>
            <w:tcW w:w="4532" w:type="dxa"/>
            <w:shd w:val="clear" w:color="auto" w:fill="D8D8D8" w:themeFill="background1" w:themeFillShade="D8"/>
            <w:vAlign w:val="center"/>
          </w:tcPr>
          <w:p w:rsidR="00D654D7" w:rsidRDefault="00BD0615" w:rsidP="006C3DF7">
            <w:pPr>
              <w:spacing w:before="120" w:after="120"/>
              <w:jc w:val="center"/>
            </w:pPr>
            <w:r>
              <w:rPr>
                <w:rFonts w:hint="eastAsia"/>
              </w:rPr>
              <w:t>Value</w:t>
            </w:r>
          </w:p>
        </w:tc>
      </w:tr>
      <w:tr w:rsidR="00D654D7">
        <w:trPr>
          <w:jc w:val="center"/>
        </w:trPr>
        <w:tc>
          <w:tcPr>
            <w:tcW w:w="2920" w:type="dxa"/>
            <w:vAlign w:val="center"/>
          </w:tcPr>
          <w:p w:rsidR="00D654D7" w:rsidRDefault="00BD0615" w:rsidP="006C3DF7">
            <w:pPr>
              <w:spacing w:before="120" w:after="120"/>
              <w:jc w:val="center"/>
            </w:pPr>
            <w:r>
              <w:rPr>
                <w:sz w:val="20"/>
              </w:rPr>
              <w:t>Carrier frequency</w:t>
            </w:r>
          </w:p>
        </w:tc>
        <w:tc>
          <w:tcPr>
            <w:tcW w:w="4532" w:type="dxa"/>
            <w:vAlign w:val="center"/>
          </w:tcPr>
          <w:p w:rsidR="00D654D7" w:rsidRDefault="00BD0615" w:rsidP="006C3DF7">
            <w:pPr>
              <w:spacing w:before="120" w:after="120"/>
              <w:jc w:val="center"/>
            </w:pPr>
            <w:r>
              <w:rPr>
                <w:sz w:val="20"/>
              </w:rPr>
              <w:t>6 GHz</w:t>
            </w:r>
          </w:p>
        </w:tc>
      </w:tr>
      <w:tr w:rsidR="00D654D7">
        <w:trPr>
          <w:jc w:val="center"/>
        </w:trPr>
        <w:tc>
          <w:tcPr>
            <w:tcW w:w="2920" w:type="dxa"/>
            <w:vAlign w:val="center"/>
          </w:tcPr>
          <w:p w:rsidR="00D654D7" w:rsidRDefault="00BD0615" w:rsidP="006C3DF7">
            <w:pPr>
              <w:spacing w:before="120" w:after="120"/>
              <w:jc w:val="center"/>
            </w:pPr>
            <w:r>
              <w:rPr>
                <w:sz w:val="20"/>
              </w:rPr>
              <w:t>Subcarrier Spacing</w:t>
            </w:r>
          </w:p>
        </w:tc>
        <w:tc>
          <w:tcPr>
            <w:tcW w:w="4532" w:type="dxa"/>
            <w:vAlign w:val="center"/>
          </w:tcPr>
          <w:p w:rsidR="00D654D7" w:rsidRDefault="00BD0615" w:rsidP="006C3DF7">
            <w:pPr>
              <w:spacing w:before="120" w:after="120"/>
              <w:jc w:val="center"/>
            </w:pPr>
            <w:r>
              <w:rPr>
                <w:rFonts w:hint="eastAsia"/>
                <w:sz w:val="20"/>
              </w:rPr>
              <w:t>30k</w:t>
            </w:r>
            <w:r>
              <w:rPr>
                <w:sz w:val="20"/>
              </w:rPr>
              <w:t>Hz</w:t>
            </w:r>
          </w:p>
        </w:tc>
      </w:tr>
      <w:tr w:rsidR="00D654D7">
        <w:trPr>
          <w:jc w:val="center"/>
        </w:trPr>
        <w:tc>
          <w:tcPr>
            <w:tcW w:w="2920" w:type="dxa"/>
            <w:vAlign w:val="center"/>
          </w:tcPr>
          <w:p w:rsidR="00D654D7" w:rsidRDefault="00BD0615" w:rsidP="006C3DF7">
            <w:pPr>
              <w:spacing w:before="120" w:after="120"/>
              <w:jc w:val="center"/>
            </w:pPr>
            <w:r>
              <w:rPr>
                <w:rFonts w:hint="eastAsia"/>
                <w:sz w:val="20"/>
              </w:rPr>
              <w:t>RB number</w:t>
            </w:r>
          </w:p>
        </w:tc>
        <w:tc>
          <w:tcPr>
            <w:tcW w:w="4532" w:type="dxa"/>
            <w:vAlign w:val="center"/>
          </w:tcPr>
          <w:p w:rsidR="00D654D7" w:rsidRDefault="00BD0615" w:rsidP="006C3DF7">
            <w:pPr>
              <w:spacing w:before="120" w:after="120"/>
              <w:jc w:val="center"/>
            </w:pPr>
            <w:r>
              <w:rPr>
                <w:rFonts w:hint="eastAsia"/>
                <w:sz w:val="20"/>
              </w:rPr>
              <w:t>11</w:t>
            </w:r>
            <w:r>
              <w:rPr>
                <w:sz w:val="20"/>
              </w:rPr>
              <w:t xml:space="preserve"> </w:t>
            </w:r>
            <w:r>
              <w:rPr>
                <w:rFonts w:hint="eastAsia"/>
                <w:sz w:val="20"/>
              </w:rPr>
              <w:t>RB</w:t>
            </w:r>
          </w:p>
        </w:tc>
      </w:tr>
      <w:tr w:rsidR="00D654D7">
        <w:trPr>
          <w:jc w:val="center"/>
        </w:trPr>
        <w:tc>
          <w:tcPr>
            <w:tcW w:w="2920" w:type="dxa"/>
            <w:vAlign w:val="center"/>
          </w:tcPr>
          <w:p w:rsidR="00D654D7" w:rsidRDefault="00BD0615" w:rsidP="006C3DF7">
            <w:pPr>
              <w:spacing w:before="120" w:after="120"/>
              <w:jc w:val="center"/>
            </w:pPr>
            <w:r>
              <w:rPr>
                <w:sz w:val="20"/>
              </w:rPr>
              <w:t>Channel</w:t>
            </w:r>
          </w:p>
        </w:tc>
        <w:tc>
          <w:tcPr>
            <w:tcW w:w="4532" w:type="dxa"/>
            <w:vAlign w:val="center"/>
          </w:tcPr>
          <w:p w:rsidR="00D654D7" w:rsidRDefault="00BD0615" w:rsidP="006C3DF7">
            <w:pPr>
              <w:spacing w:before="120" w:after="120"/>
              <w:jc w:val="center"/>
            </w:pPr>
            <w:r>
              <w:rPr>
                <w:rFonts w:hint="eastAsia"/>
                <w:sz w:val="20"/>
              </w:rPr>
              <w:t>CDL_C</w:t>
            </w:r>
          </w:p>
        </w:tc>
      </w:tr>
      <w:tr w:rsidR="00D654D7">
        <w:trPr>
          <w:jc w:val="center"/>
        </w:trPr>
        <w:tc>
          <w:tcPr>
            <w:tcW w:w="2920" w:type="dxa"/>
            <w:vAlign w:val="center"/>
          </w:tcPr>
          <w:p w:rsidR="00D654D7" w:rsidRDefault="00BD0615" w:rsidP="006C3DF7">
            <w:pPr>
              <w:spacing w:before="120" w:after="120"/>
              <w:jc w:val="center"/>
            </w:pPr>
            <w:r>
              <w:rPr>
                <w:rFonts w:hint="eastAsia"/>
              </w:rPr>
              <w:t>Sequence length(S-PSS/S-SSS)</w:t>
            </w:r>
          </w:p>
        </w:tc>
        <w:tc>
          <w:tcPr>
            <w:tcW w:w="4532" w:type="dxa"/>
            <w:vAlign w:val="center"/>
          </w:tcPr>
          <w:p w:rsidR="00D654D7" w:rsidRDefault="00BD0615" w:rsidP="006C3DF7">
            <w:pPr>
              <w:spacing w:before="120" w:after="120"/>
              <w:jc w:val="center"/>
            </w:pPr>
            <w:r>
              <w:rPr>
                <w:rFonts w:hint="eastAsia"/>
              </w:rPr>
              <w:t>127</w:t>
            </w:r>
          </w:p>
        </w:tc>
      </w:tr>
      <w:tr w:rsidR="00D654D7">
        <w:trPr>
          <w:jc w:val="center"/>
        </w:trPr>
        <w:tc>
          <w:tcPr>
            <w:tcW w:w="2920" w:type="dxa"/>
            <w:vAlign w:val="center"/>
          </w:tcPr>
          <w:p w:rsidR="00D654D7" w:rsidRDefault="00BD0615" w:rsidP="006C3DF7">
            <w:pPr>
              <w:spacing w:before="120" w:after="120"/>
              <w:jc w:val="center"/>
            </w:pPr>
            <w:r>
              <w:rPr>
                <w:sz w:val="20"/>
              </w:rPr>
              <w:t>Antenna configuration</w:t>
            </w:r>
          </w:p>
        </w:tc>
        <w:tc>
          <w:tcPr>
            <w:tcW w:w="4532" w:type="dxa"/>
            <w:vAlign w:val="center"/>
          </w:tcPr>
          <w:p w:rsidR="00D654D7" w:rsidRDefault="00BD0615" w:rsidP="006C3DF7">
            <w:pPr>
              <w:spacing w:before="120" w:after="120"/>
              <w:jc w:val="center"/>
            </w:pPr>
            <w:r>
              <w:rPr>
                <w:sz w:val="20"/>
              </w:rPr>
              <w:t>2T</w:t>
            </w:r>
            <w:r>
              <w:rPr>
                <w:rFonts w:hint="eastAsia"/>
                <w:sz w:val="20"/>
              </w:rPr>
              <w:t>*2</w:t>
            </w:r>
            <w:r>
              <w:rPr>
                <w:sz w:val="20"/>
              </w:rPr>
              <w:t>R</w:t>
            </w:r>
          </w:p>
        </w:tc>
      </w:tr>
      <w:tr w:rsidR="00D654D7">
        <w:trPr>
          <w:jc w:val="center"/>
        </w:trPr>
        <w:tc>
          <w:tcPr>
            <w:tcW w:w="2920" w:type="dxa"/>
            <w:vAlign w:val="center"/>
          </w:tcPr>
          <w:p w:rsidR="00D654D7" w:rsidRDefault="00BD0615" w:rsidP="006C3DF7">
            <w:pPr>
              <w:spacing w:before="120" w:after="120"/>
              <w:jc w:val="center"/>
            </w:pPr>
            <w:r>
              <w:t xml:space="preserve">UE (relative) </w:t>
            </w:r>
            <w:r>
              <w:rPr>
                <w:rFonts w:hint="eastAsia"/>
                <w:sz w:val="20"/>
              </w:rPr>
              <w:t>speed</w:t>
            </w:r>
          </w:p>
        </w:tc>
        <w:tc>
          <w:tcPr>
            <w:tcW w:w="4532" w:type="dxa"/>
            <w:vAlign w:val="center"/>
          </w:tcPr>
          <w:p w:rsidR="00D654D7" w:rsidRDefault="00BD0615" w:rsidP="006C3DF7">
            <w:pPr>
              <w:spacing w:before="120" w:after="120"/>
              <w:jc w:val="center"/>
            </w:pPr>
            <w:r>
              <w:rPr>
                <w:rFonts w:hint="eastAsia"/>
                <w:sz w:val="20"/>
              </w:rPr>
              <w:t>6</w:t>
            </w:r>
            <w:r>
              <w:rPr>
                <w:sz w:val="20"/>
              </w:rPr>
              <w:t xml:space="preserve"> </w:t>
            </w:r>
            <w:r>
              <w:rPr>
                <w:rFonts w:hint="eastAsia"/>
                <w:sz w:val="20"/>
              </w:rPr>
              <w:t>km/h</w:t>
            </w:r>
          </w:p>
        </w:tc>
      </w:tr>
      <w:tr w:rsidR="00D654D7">
        <w:trPr>
          <w:jc w:val="center"/>
        </w:trPr>
        <w:tc>
          <w:tcPr>
            <w:tcW w:w="2920" w:type="dxa"/>
            <w:vAlign w:val="center"/>
          </w:tcPr>
          <w:p w:rsidR="00D654D7" w:rsidRDefault="00BD0615" w:rsidP="006C3DF7">
            <w:pPr>
              <w:spacing w:before="120" w:after="120"/>
              <w:jc w:val="center"/>
              <w:rPr>
                <w:sz w:val="20"/>
              </w:rPr>
            </w:pPr>
            <w:r>
              <w:rPr>
                <w:rFonts w:hint="eastAsia"/>
                <w:sz w:val="20"/>
              </w:rPr>
              <w:t>SNR range</w:t>
            </w:r>
          </w:p>
        </w:tc>
        <w:tc>
          <w:tcPr>
            <w:tcW w:w="4532" w:type="dxa"/>
            <w:vAlign w:val="center"/>
          </w:tcPr>
          <w:p w:rsidR="00D654D7" w:rsidRDefault="00BD0615" w:rsidP="006C3DF7">
            <w:pPr>
              <w:spacing w:before="120" w:after="120"/>
              <w:jc w:val="center"/>
              <w:rPr>
                <w:sz w:val="20"/>
              </w:rPr>
            </w:pPr>
            <w:r>
              <w:rPr>
                <w:rFonts w:hint="eastAsia"/>
                <w:sz w:val="20"/>
              </w:rPr>
              <w:t>&gt; -10 dB</w:t>
            </w:r>
          </w:p>
        </w:tc>
      </w:tr>
    </w:tbl>
    <w:p w:rsidR="00D654D7" w:rsidRDefault="00D654D7" w:rsidP="006C3DF7">
      <w:pPr>
        <w:pStyle w:val="References"/>
        <w:numPr>
          <w:ilvl w:val="0"/>
          <w:numId w:val="0"/>
        </w:numPr>
        <w:spacing w:before="120" w:after="120"/>
        <w:rPr>
          <w:sz w:val="20"/>
          <w:szCs w:val="20"/>
        </w:rPr>
      </w:pPr>
    </w:p>
    <w:p w:rsidR="00D654D7" w:rsidRDefault="00D654D7" w:rsidP="00D654D7">
      <w:pPr>
        <w:pStyle w:val="References"/>
        <w:numPr>
          <w:ilvl w:val="0"/>
          <w:numId w:val="0"/>
        </w:numPr>
        <w:spacing w:before="120" w:after="120"/>
        <w:rPr>
          <w:sz w:val="20"/>
          <w:szCs w:val="20"/>
        </w:rPr>
      </w:pPr>
    </w:p>
    <w:sectPr w:rsidR="00D654D7" w:rsidSect="00D654D7">
      <w:headerReference w:type="even" r:id="rId24"/>
      <w:headerReference w:type="default" r:id="rId25"/>
      <w:footerReference w:type="even" r:id="rId26"/>
      <w:footerReference w:type="default" r:id="rId27"/>
      <w:headerReference w:type="first" r:id="rId28"/>
      <w:footerReference w:type="first" r:id="rId29"/>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41A" w:rsidRDefault="00C0741A" w:rsidP="006C3DF7">
      <w:pPr>
        <w:spacing w:before="120" w:after="120" w:line="240" w:lineRule="auto"/>
      </w:pPr>
      <w:r>
        <w:separator/>
      </w:r>
    </w:p>
  </w:endnote>
  <w:endnote w:type="continuationSeparator" w:id="0">
    <w:p w:rsidR="00C0741A" w:rsidRDefault="00C0741A" w:rsidP="006C3DF7">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宋体">
    <w:altName w:val="Arial Unicode MS"/>
    <w:charset w:val="50"/>
    <w:family w:val="auto"/>
    <w:pitch w:val="default"/>
    <w:sig w:usb0="00000000" w:usb1="288F0000" w:usb2="0000000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1A" w:rsidRDefault="00C0741A" w:rsidP="006C3DF7">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1116"/>
      <w:docPartObj>
        <w:docPartGallery w:val="Page Numbers (Bottom of Page)"/>
        <w:docPartUnique/>
      </w:docPartObj>
    </w:sdtPr>
    <w:sdtContent>
      <w:p w:rsidR="00C0741A" w:rsidRDefault="00C0741A" w:rsidP="006C3DF7">
        <w:pPr>
          <w:pStyle w:val="Footer"/>
          <w:spacing w:before="120" w:after="120"/>
          <w:jc w:val="center"/>
        </w:pPr>
        <w:fldSimple w:instr=" PAGE   \* MERGEFORMAT ">
          <w:r w:rsidR="00C91343">
            <w:rPr>
              <w:noProof/>
            </w:rPr>
            <w:t>1</w:t>
          </w:r>
        </w:fldSimple>
      </w:p>
    </w:sdtContent>
  </w:sdt>
  <w:p w:rsidR="00C0741A" w:rsidRDefault="00C0741A" w:rsidP="006C3DF7">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1A" w:rsidRDefault="00C0741A" w:rsidP="006C3DF7">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41A" w:rsidRDefault="00C0741A" w:rsidP="006C3DF7">
      <w:pPr>
        <w:spacing w:before="120" w:after="120" w:line="240" w:lineRule="auto"/>
      </w:pPr>
      <w:r>
        <w:separator/>
      </w:r>
    </w:p>
  </w:footnote>
  <w:footnote w:type="continuationSeparator" w:id="0">
    <w:p w:rsidR="00C0741A" w:rsidRDefault="00C0741A" w:rsidP="006C3DF7">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1A" w:rsidRDefault="00C0741A" w:rsidP="006C3DF7">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1A" w:rsidRDefault="00C0741A" w:rsidP="006C3DF7">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41A" w:rsidRDefault="00C0741A" w:rsidP="006C3DF7">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5C86B4B"/>
    <w:multiLevelType w:val="multilevel"/>
    <w:tmpl w:val="05C86B4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3">
    <w:nsid w:val="0E906E3F"/>
    <w:multiLevelType w:val="multilevel"/>
    <w:tmpl w:val="0E906E3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23F07E7"/>
    <w:multiLevelType w:val="hybridMultilevel"/>
    <w:tmpl w:val="C52E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B420B8"/>
    <w:multiLevelType w:val="multilevel"/>
    <w:tmpl w:val="25B420B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38E7235E"/>
    <w:multiLevelType w:val="multilevel"/>
    <w:tmpl w:val="38E723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F9F4462"/>
    <w:multiLevelType w:val="singleLevel"/>
    <w:tmpl w:val="3F9F4462"/>
    <w:lvl w:ilvl="0">
      <w:start w:val="1"/>
      <w:numFmt w:val="bullet"/>
      <w:lvlText w:val=""/>
      <w:lvlJc w:val="left"/>
      <w:pPr>
        <w:ind w:left="420" w:hanging="420"/>
      </w:pPr>
      <w:rPr>
        <w:rFonts w:ascii="Wingdings" w:hAnsi="Wingdings" w:hint="default"/>
      </w:rPr>
    </w:lvl>
  </w:abstractNum>
  <w:abstractNum w:abstractNumId="12">
    <w:nsid w:val="4ECF2CF2"/>
    <w:multiLevelType w:val="multilevel"/>
    <w:tmpl w:val="4ECF2CF2"/>
    <w:lvl w:ilvl="0">
      <w:start w:val="1"/>
      <w:numFmt w:val="lowerLetter"/>
      <w:lvlText w:val="(%1)"/>
      <w:lvlJc w:val="left"/>
      <w:pPr>
        <w:ind w:left="1320" w:hanging="360"/>
      </w:pPr>
      <w:rPr>
        <w:rFonts w:eastAsia="Times New Roman" w:hint="default"/>
      </w:rPr>
    </w:lvl>
    <w:lvl w:ilvl="1">
      <w:start w:val="1"/>
      <w:numFmt w:val="lowerLetter"/>
      <w:lvlText w:val="%2."/>
      <w:lvlJc w:val="left"/>
      <w:pPr>
        <w:ind w:left="2040" w:hanging="360"/>
      </w:pPr>
    </w:lvl>
    <w:lvl w:ilvl="2">
      <w:start w:val="1"/>
      <w:numFmt w:val="lowerRoman"/>
      <w:lvlText w:val="%3."/>
      <w:lvlJc w:val="right"/>
      <w:pPr>
        <w:ind w:left="2760" w:hanging="180"/>
      </w:pPr>
    </w:lvl>
    <w:lvl w:ilvl="3">
      <w:start w:val="1"/>
      <w:numFmt w:val="decimal"/>
      <w:lvlText w:val="%4."/>
      <w:lvlJc w:val="left"/>
      <w:pPr>
        <w:ind w:left="3480" w:hanging="360"/>
      </w:pPr>
    </w:lvl>
    <w:lvl w:ilvl="4">
      <w:start w:val="1"/>
      <w:numFmt w:val="lowerLetter"/>
      <w:lvlText w:val="%5."/>
      <w:lvlJc w:val="left"/>
      <w:pPr>
        <w:ind w:left="4200" w:hanging="360"/>
      </w:pPr>
    </w:lvl>
    <w:lvl w:ilvl="5">
      <w:start w:val="1"/>
      <w:numFmt w:val="lowerRoman"/>
      <w:lvlText w:val="%6."/>
      <w:lvlJc w:val="right"/>
      <w:pPr>
        <w:ind w:left="4920" w:hanging="180"/>
      </w:pPr>
    </w:lvl>
    <w:lvl w:ilvl="6">
      <w:start w:val="1"/>
      <w:numFmt w:val="decimal"/>
      <w:lvlText w:val="%7."/>
      <w:lvlJc w:val="left"/>
      <w:pPr>
        <w:ind w:left="5640" w:hanging="360"/>
      </w:pPr>
    </w:lvl>
    <w:lvl w:ilvl="7">
      <w:start w:val="1"/>
      <w:numFmt w:val="lowerLetter"/>
      <w:lvlText w:val="%8."/>
      <w:lvlJc w:val="left"/>
      <w:pPr>
        <w:ind w:left="6360" w:hanging="360"/>
      </w:pPr>
    </w:lvl>
    <w:lvl w:ilvl="8">
      <w:start w:val="1"/>
      <w:numFmt w:val="lowerRoman"/>
      <w:lvlText w:val="%9."/>
      <w:lvlJc w:val="right"/>
      <w:pPr>
        <w:ind w:left="7080" w:hanging="180"/>
      </w:pPr>
    </w:lvl>
  </w:abstractNum>
  <w:abstractNum w:abstractNumId="13">
    <w:nsid w:val="557543B5"/>
    <w:multiLevelType w:val="multilevel"/>
    <w:tmpl w:val="557543B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F786974"/>
    <w:multiLevelType w:val="singleLevel"/>
    <w:tmpl w:val="5F786974"/>
    <w:lvl w:ilvl="0">
      <w:start w:val="1"/>
      <w:numFmt w:val="bullet"/>
      <w:lvlText w:val=""/>
      <w:lvlJc w:val="left"/>
      <w:pPr>
        <w:ind w:left="420" w:hanging="420"/>
      </w:pPr>
      <w:rPr>
        <w:rFonts w:ascii="Wingdings" w:hAnsi="Wingdings" w:hint="default"/>
      </w:rPr>
    </w:lvl>
  </w:abstractNum>
  <w:abstractNum w:abstractNumId="15">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E5B5EE4"/>
    <w:multiLevelType w:val="hybridMultilevel"/>
    <w:tmpl w:val="13C6F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427632"/>
    <w:multiLevelType w:val="multilevel"/>
    <w:tmpl w:val="774276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7"/>
  </w:num>
  <w:num w:numId="4">
    <w:abstractNumId w:val="0"/>
  </w:num>
  <w:num w:numId="5">
    <w:abstractNumId w:val="10"/>
  </w:num>
  <w:num w:numId="6">
    <w:abstractNumId w:val="15"/>
  </w:num>
  <w:num w:numId="7">
    <w:abstractNumId w:val="5"/>
  </w:num>
  <w:num w:numId="8">
    <w:abstractNumId w:val="13"/>
  </w:num>
  <w:num w:numId="9">
    <w:abstractNumId w:val="9"/>
  </w:num>
  <w:num w:numId="10">
    <w:abstractNumId w:val="1"/>
  </w:num>
  <w:num w:numId="11">
    <w:abstractNumId w:val="3"/>
  </w:num>
  <w:num w:numId="12">
    <w:abstractNumId w:val="11"/>
  </w:num>
  <w:num w:numId="13">
    <w:abstractNumId w:val="12"/>
  </w:num>
  <w:num w:numId="14">
    <w:abstractNumId w:val="14"/>
  </w:num>
  <w:num w:numId="15">
    <w:abstractNumId w:val="17"/>
  </w:num>
  <w:num w:numId="16">
    <w:abstractNumId w:val="6"/>
  </w:num>
  <w:num w:numId="17">
    <w:abstractNumId w:val="4"/>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420"/>
  <w:drawingGridHorizontalSpacing w:val="120"/>
  <w:drawingGridVerticalSpacing w:val="120"/>
  <w:doNotUseMarginsForDrawingGridOrigin/>
  <w:doNotShadeFormData/>
  <w:noPunctuationKerning/>
  <w:characterSpacingControl w:val="compressPunctuation"/>
  <w:doNotValidateAgainstSchema/>
  <w:doNotDemarcateInvalidXml/>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172A27"/>
    <w:rsid w:val="00222DA2"/>
    <w:rsid w:val="00245398"/>
    <w:rsid w:val="0044742C"/>
    <w:rsid w:val="005B065E"/>
    <w:rsid w:val="005C2DA2"/>
    <w:rsid w:val="005D28C0"/>
    <w:rsid w:val="005F5803"/>
    <w:rsid w:val="00660851"/>
    <w:rsid w:val="006C3DF7"/>
    <w:rsid w:val="00732F21"/>
    <w:rsid w:val="0075459B"/>
    <w:rsid w:val="008D1C5E"/>
    <w:rsid w:val="00952A6B"/>
    <w:rsid w:val="0096044C"/>
    <w:rsid w:val="009714A0"/>
    <w:rsid w:val="00A16E29"/>
    <w:rsid w:val="00B32F4B"/>
    <w:rsid w:val="00BD0615"/>
    <w:rsid w:val="00C0741A"/>
    <w:rsid w:val="00C3542E"/>
    <w:rsid w:val="00C91343"/>
    <w:rsid w:val="00CA33EA"/>
    <w:rsid w:val="00D654D7"/>
    <w:rsid w:val="00EA43F5"/>
    <w:rsid w:val="00F912BF"/>
    <w:rsid w:val="01063FDD"/>
    <w:rsid w:val="015C6038"/>
    <w:rsid w:val="01764F01"/>
    <w:rsid w:val="01A43026"/>
    <w:rsid w:val="024D6B6A"/>
    <w:rsid w:val="029B04E7"/>
    <w:rsid w:val="02E52B54"/>
    <w:rsid w:val="03073BDC"/>
    <w:rsid w:val="03223454"/>
    <w:rsid w:val="03377B59"/>
    <w:rsid w:val="041142FD"/>
    <w:rsid w:val="0555228E"/>
    <w:rsid w:val="05741531"/>
    <w:rsid w:val="05E078B3"/>
    <w:rsid w:val="06A40B3F"/>
    <w:rsid w:val="077D0583"/>
    <w:rsid w:val="07CD7FFF"/>
    <w:rsid w:val="082A352F"/>
    <w:rsid w:val="09043349"/>
    <w:rsid w:val="09F67CD5"/>
    <w:rsid w:val="0B3B577B"/>
    <w:rsid w:val="0B9E71DF"/>
    <w:rsid w:val="0C2B533F"/>
    <w:rsid w:val="0C5A38D6"/>
    <w:rsid w:val="0C5D5DE5"/>
    <w:rsid w:val="0DA90499"/>
    <w:rsid w:val="0DC67FA3"/>
    <w:rsid w:val="0E473123"/>
    <w:rsid w:val="0F3578A8"/>
    <w:rsid w:val="10A50104"/>
    <w:rsid w:val="119D7849"/>
    <w:rsid w:val="12033130"/>
    <w:rsid w:val="13CC3BA1"/>
    <w:rsid w:val="14C124FA"/>
    <w:rsid w:val="14DA3DA1"/>
    <w:rsid w:val="16894F77"/>
    <w:rsid w:val="16CE1703"/>
    <w:rsid w:val="17155857"/>
    <w:rsid w:val="171E78AE"/>
    <w:rsid w:val="17B72C51"/>
    <w:rsid w:val="18E62420"/>
    <w:rsid w:val="19010C43"/>
    <w:rsid w:val="19084C73"/>
    <w:rsid w:val="193C5FF4"/>
    <w:rsid w:val="198F7226"/>
    <w:rsid w:val="19D64A51"/>
    <w:rsid w:val="1A054259"/>
    <w:rsid w:val="1A356C40"/>
    <w:rsid w:val="1AA825EB"/>
    <w:rsid w:val="1B775836"/>
    <w:rsid w:val="1B7F6005"/>
    <w:rsid w:val="1C132CB9"/>
    <w:rsid w:val="1C5E5732"/>
    <w:rsid w:val="1CCC26CA"/>
    <w:rsid w:val="1E0B75E8"/>
    <w:rsid w:val="1E46348D"/>
    <w:rsid w:val="1E9D6342"/>
    <w:rsid w:val="1EA814AF"/>
    <w:rsid w:val="1ED110C6"/>
    <w:rsid w:val="1F0F058B"/>
    <w:rsid w:val="1F1E5EEA"/>
    <w:rsid w:val="1FEE078F"/>
    <w:rsid w:val="204E6676"/>
    <w:rsid w:val="2195668B"/>
    <w:rsid w:val="21DD222A"/>
    <w:rsid w:val="221E4EC5"/>
    <w:rsid w:val="223A29C2"/>
    <w:rsid w:val="2255666C"/>
    <w:rsid w:val="2373571E"/>
    <w:rsid w:val="245C52F8"/>
    <w:rsid w:val="2463385E"/>
    <w:rsid w:val="25134332"/>
    <w:rsid w:val="257E508F"/>
    <w:rsid w:val="268176AE"/>
    <w:rsid w:val="26AE2453"/>
    <w:rsid w:val="27AB7429"/>
    <w:rsid w:val="29102650"/>
    <w:rsid w:val="29CB22D5"/>
    <w:rsid w:val="29FA7F26"/>
    <w:rsid w:val="2B0D407D"/>
    <w:rsid w:val="2BD2348F"/>
    <w:rsid w:val="2C3D0C43"/>
    <w:rsid w:val="2CC61114"/>
    <w:rsid w:val="2D5C3201"/>
    <w:rsid w:val="2D754D1D"/>
    <w:rsid w:val="2F1251F2"/>
    <w:rsid w:val="308409F0"/>
    <w:rsid w:val="30962F3E"/>
    <w:rsid w:val="30C63409"/>
    <w:rsid w:val="30D17E68"/>
    <w:rsid w:val="30FF2795"/>
    <w:rsid w:val="313519AB"/>
    <w:rsid w:val="329A6ACE"/>
    <w:rsid w:val="339F16C2"/>
    <w:rsid w:val="33D8516B"/>
    <w:rsid w:val="35FB0F6B"/>
    <w:rsid w:val="360B1D73"/>
    <w:rsid w:val="361F3323"/>
    <w:rsid w:val="36E93760"/>
    <w:rsid w:val="37420318"/>
    <w:rsid w:val="3784394E"/>
    <w:rsid w:val="37F043A1"/>
    <w:rsid w:val="3837696A"/>
    <w:rsid w:val="38A81BE0"/>
    <w:rsid w:val="38AE3BB0"/>
    <w:rsid w:val="38E0677B"/>
    <w:rsid w:val="39B259B2"/>
    <w:rsid w:val="39B53480"/>
    <w:rsid w:val="3A964549"/>
    <w:rsid w:val="3ACB5746"/>
    <w:rsid w:val="3B2B7E19"/>
    <w:rsid w:val="3BB20883"/>
    <w:rsid w:val="3C1B16A4"/>
    <w:rsid w:val="3C224A84"/>
    <w:rsid w:val="3E441C7D"/>
    <w:rsid w:val="3FC956FF"/>
    <w:rsid w:val="3FE3763E"/>
    <w:rsid w:val="40A36A71"/>
    <w:rsid w:val="41244F55"/>
    <w:rsid w:val="41F466FD"/>
    <w:rsid w:val="42336E48"/>
    <w:rsid w:val="4256162F"/>
    <w:rsid w:val="42641377"/>
    <w:rsid w:val="42A67A24"/>
    <w:rsid w:val="440D5045"/>
    <w:rsid w:val="456B52EA"/>
    <w:rsid w:val="45BE6191"/>
    <w:rsid w:val="460C5979"/>
    <w:rsid w:val="471065AF"/>
    <w:rsid w:val="473A4090"/>
    <w:rsid w:val="47A91B04"/>
    <w:rsid w:val="47C01792"/>
    <w:rsid w:val="4808150F"/>
    <w:rsid w:val="48AD5112"/>
    <w:rsid w:val="4A2C76F3"/>
    <w:rsid w:val="4A6D023A"/>
    <w:rsid w:val="4AC31003"/>
    <w:rsid w:val="4AE93159"/>
    <w:rsid w:val="4BA01152"/>
    <w:rsid w:val="4BB87376"/>
    <w:rsid w:val="4BD0339A"/>
    <w:rsid w:val="4C2C27D9"/>
    <w:rsid w:val="4D462159"/>
    <w:rsid w:val="4D6340DD"/>
    <w:rsid w:val="4DC605B6"/>
    <w:rsid w:val="4DC81D5C"/>
    <w:rsid w:val="4DEC0985"/>
    <w:rsid w:val="4E27683A"/>
    <w:rsid w:val="4E654861"/>
    <w:rsid w:val="4F253E1B"/>
    <w:rsid w:val="4F2765B1"/>
    <w:rsid w:val="4F285975"/>
    <w:rsid w:val="50543861"/>
    <w:rsid w:val="5056504A"/>
    <w:rsid w:val="508B01F1"/>
    <w:rsid w:val="51867298"/>
    <w:rsid w:val="51990DEF"/>
    <w:rsid w:val="52C05C84"/>
    <w:rsid w:val="52E04D27"/>
    <w:rsid w:val="531B1662"/>
    <w:rsid w:val="53DB3477"/>
    <w:rsid w:val="55152F68"/>
    <w:rsid w:val="55DD6F2A"/>
    <w:rsid w:val="56145865"/>
    <w:rsid w:val="56880C30"/>
    <w:rsid w:val="56F52621"/>
    <w:rsid w:val="578F220A"/>
    <w:rsid w:val="57981B91"/>
    <w:rsid w:val="57FC07D9"/>
    <w:rsid w:val="58500F22"/>
    <w:rsid w:val="587818A4"/>
    <w:rsid w:val="58EC0912"/>
    <w:rsid w:val="59420C0F"/>
    <w:rsid w:val="59B66EF3"/>
    <w:rsid w:val="5A431D86"/>
    <w:rsid w:val="5ACF0F3A"/>
    <w:rsid w:val="5B267241"/>
    <w:rsid w:val="5B931671"/>
    <w:rsid w:val="5BDA30AA"/>
    <w:rsid w:val="5BEC1F3E"/>
    <w:rsid w:val="5C6B1600"/>
    <w:rsid w:val="5D9D7CEE"/>
    <w:rsid w:val="5DB72AB1"/>
    <w:rsid w:val="5DFD51DB"/>
    <w:rsid w:val="5E0D36E5"/>
    <w:rsid w:val="5E9014C0"/>
    <w:rsid w:val="5F2A30E7"/>
    <w:rsid w:val="607C3753"/>
    <w:rsid w:val="60C30855"/>
    <w:rsid w:val="60FC4DC9"/>
    <w:rsid w:val="61421EFD"/>
    <w:rsid w:val="615C5041"/>
    <w:rsid w:val="61DD7C0C"/>
    <w:rsid w:val="634C2917"/>
    <w:rsid w:val="637F10BE"/>
    <w:rsid w:val="63831CDB"/>
    <w:rsid w:val="6399211D"/>
    <w:rsid w:val="64D03F89"/>
    <w:rsid w:val="664805B8"/>
    <w:rsid w:val="67A91DCA"/>
    <w:rsid w:val="69064BFC"/>
    <w:rsid w:val="690F418B"/>
    <w:rsid w:val="695D4A1A"/>
    <w:rsid w:val="69B97796"/>
    <w:rsid w:val="69F02687"/>
    <w:rsid w:val="6A035D5E"/>
    <w:rsid w:val="6A7A2736"/>
    <w:rsid w:val="6A7B4B9C"/>
    <w:rsid w:val="6AB74D93"/>
    <w:rsid w:val="6C89456C"/>
    <w:rsid w:val="6D0A72DB"/>
    <w:rsid w:val="6DF35CE7"/>
    <w:rsid w:val="6FA629D4"/>
    <w:rsid w:val="70BB2EF0"/>
    <w:rsid w:val="724429DE"/>
    <w:rsid w:val="72CE7F8B"/>
    <w:rsid w:val="73D425F7"/>
    <w:rsid w:val="76050CD1"/>
    <w:rsid w:val="76274B15"/>
    <w:rsid w:val="76425A7C"/>
    <w:rsid w:val="768A3B82"/>
    <w:rsid w:val="76933951"/>
    <w:rsid w:val="77405CDA"/>
    <w:rsid w:val="784F7216"/>
    <w:rsid w:val="78782A0D"/>
    <w:rsid w:val="78F51CF9"/>
    <w:rsid w:val="79A2171F"/>
    <w:rsid w:val="79A252FF"/>
    <w:rsid w:val="79D33056"/>
    <w:rsid w:val="7AA634E6"/>
    <w:rsid w:val="7C26369C"/>
    <w:rsid w:val="7C9E5A24"/>
    <w:rsid w:val="7D62117D"/>
    <w:rsid w:val="7D637309"/>
    <w:rsid w:val="7E3E1EF2"/>
    <w:rsid w:val="7EED2530"/>
    <w:rsid w:val="7EF74F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uiPriority="39" w:qFormat="1"/>
    <w:lsdException w:name="toc 2" w:qFormat="1"/>
    <w:lsdException w:name="annotation text" w:qFormat="1"/>
    <w:lsdException w:name="header" w:uiPriority="0" w:unhideWhenUsed="0" w:qFormat="1"/>
    <w:lsdException w:name="footer" w:qFormat="1"/>
    <w:lsdException w:name="table of figures" w:qFormat="1"/>
    <w:lsdException w:name="Default Paragraph Font" w:semiHidden="0" w:qFormat="1"/>
    <w:lsdException w:name="Body Text" w:semiHidden="0" w:uiPriority="0" w:unhideWhenUsed="0" w:qFormat="1"/>
    <w:lsdException w:name="Normal Table"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4D7"/>
    <w:pPr>
      <w:spacing w:beforeLines="50" w:afterLines="50"/>
      <w:jc w:val="both"/>
    </w:pPr>
    <w:rPr>
      <w:kern w:val="2"/>
      <w:sz w:val="21"/>
    </w:rPr>
  </w:style>
  <w:style w:type="paragraph" w:styleId="Heading1">
    <w:name w:val="heading 1"/>
    <w:basedOn w:val="Normal"/>
    <w:next w:val="Normal"/>
    <w:qFormat/>
    <w:rsid w:val="00D654D7"/>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D654D7"/>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D654D7"/>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rsid w:val="00D654D7"/>
    <w:pPr>
      <w:jc w:val="left"/>
    </w:pPr>
  </w:style>
  <w:style w:type="paragraph" w:styleId="BodyText">
    <w:name w:val="Body Text"/>
    <w:basedOn w:val="Normal"/>
    <w:qFormat/>
    <w:rsid w:val="00D654D7"/>
    <w:pPr>
      <w:spacing w:after="120"/>
    </w:pPr>
  </w:style>
  <w:style w:type="paragraph" w:styleId="Footer">
    <w:name w:val="footer"/>
    <w:basedOn w:val="Normal"/>
    <w:link w:val="FooterChar"/>
    <w:uiPriority w:val="99"/>
    <w:unhideWhenUsed/>
    <w:qFormat/>
    <w:rsid w:val="00D654D7"/>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D654D7"/>
    <w:rPr>
      <w:rFonts w:eastAsiaTheme="minorEastAsia"/>
      <w:b/>
      <w:i/>
      <w:sz w:val="20"/>
    </w:rPr>
  </w:style>
  <w:style w:type="paragraph" w:styleId="TableofFigures">
    <w:name w:val="table of figures"/>
    <w:basedOn w:val="Normal"/>
    <w:next w:val="Normal"/>
    <w:uiPriority w:val="99"/>
    <w:semiHidden/>
    <w:unhideWhenUsed/>
    <w:qFormat/>
    <w:rsid w:val="00D654D7"/>
    <w:pPr>
      <w:ind w:leftChars="200" w:left="200" w:hangingChars="200" w:hanging="200"/>
    </w:pPr>
  </w:style>
  <w:style w:type="paragraph" w:styleId="TOC2">
    <w:name w:val="toc 2"/>
    <w:basedOn w:val="Normal"/>
    <w:next w:val="Normal"/>
    <w:uiPriority w:val="99"/>
    <w:semiHidden/>
    <w:unhideWhenUsed/>
    <w:qFormat/>
    <w:rsid w:val="00D654D7"/>
    <w:pPr>
      <w:ind w:leftChars="200" w:left="420"/>
    </w:pPr>
    <w:rPr>
      <w:b/>
      <w:i/>
      <w:sz w:val="20"/>
    </w:rPr>
  </w:style>
  <w:style w:type="table" w:styleId="TableGrid">
    <w:name w:val="Table Grid"/>
    <w:basedOn w:val="TableNormal"/>
    <w:uiPriority w:val="99"/>
    <w:semiHidden/>
    <w:unhideWhenUsed/>
    <w:qFormat/>
    <w:rsid w:val="00D654D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Normal"/>
    <w:qFormat/>
    <w:rsid w:val="00D654D7"/>
    <w:pPr>
      <w:numPr>
        <w:numId w:val="2"/>
      </w:numPr>
    </w:pPr>
    <w:rPr>
      <w:rFonts w:eastAsiaTheme="minorEastAsia"/>
      <w:b/>
      <w:bCs/>
      <w:i/>
      <w:iCs/>
      <w:sz w:val="20"/>
      <w:lang w:val="en-GB" w:eastAsia="en-US"/>
    </w:rPr>
  </w:style>
  <w:style w:type="paragraph" w:customStyle="1" w:styleId="YJ-Observation">
    <w:name w:val="YJ-Observation"/>
    <w:basedOn w:val="YJ-Proposal"/>
    <w:qFormat/>
    <w:rsid w:val="00D654D7"/>
    <w:pPr>
      <w:numPr>
        <w:numId w:val="3"/>
      </w:numPr>
      <w:tabs>
        <w:tab w:val="left" w:pos="420"/>
      </w:tabs>
    </w:pPr>
  </w:style>
  <w:style w:type="paragraph" w:customStyle="1" w:styleId="sub-proposal">
    <w:name w:val="sub-proposal"/>
    <w:basedOn w:val="YJ-Proposal"/>
    <w:next w:val="Normal"/>
    <w:qFormat/>
    <w:rsid w:val="00D654D7"/>
    <w:pPr>
      <w:numPr>
        <w:numId w:val="4"/>
      </w:numPr>
    </w:pPr>
  </w:style>
  <w:style w:type="paragraph" w:customStyle="1" w:styleId="sub-observation">
    <w:name w:val="sub-observation"/>
    <w:basedOn w:val="sub-proposal"/>
    <w:next w:val="Normal"/>
    <w:qFormat/>
    <w:rsid w:val="00D654D7"/>
  </w:style>
  <w:style w:type="paragraph" w:customStyle="1" w:styleId="References">
    <w:name w:val="References"/>
    <w:basedOn w:val="Normal"/>
    <w:qFormat/>
    <w:rsid w:val="00D654D7"/>
    <w:pPr>
      <w:numPr>
        <w:numId w:val="5"/>
      </w:numPr>
      <w:spacing w:after="60"/>
    </w:pPr>
    <w:rPr>
      <w:szCs w:val="16"/>
    </w:rPr>
  </w:style>
  <w:style w:type="paragraph" w:styleId="ListParagraph">
    <w:name w:val="List Paragraph"/>
    <w:basedOn w:val="Normal"/>
    <w:uiPriority w:val="34"/>
    <w:qFormat/>
    <w:rsid w:val="00D654D7"/>
    <w:pPr>
      <w:spacing w:beforeLines="0" w:after="0" w:line="240" w:lineRule="auto"/>
      <w:ind w:left="720"/>
      <w:contextualSpacing/>
    </w:pPr>
    <w:rPr>
      <w:rFonts w:eastAsia="Times New Roman"/>
      <w:sz w:val="24"/>
      <w:szCs w:val="24"/>
    </w:rPr>
  </w:style>
  <w:style w:type="paragraph" w:customStyle="1" w:styleId="1">
    <w:name w:val="样式1"/>
    <w:basedOn w:val="Normal"/>
    <w:qFormat/>
    <w:rsid w:val="00D654D7"/>
  </w:style>
  <w:style w:type="paragraph" w:styleId="Header">
    <w:name w:val="header"/>
    <w:basedOn w:val="Normal"/>
    <w:link w:val="HeaderChar"/>
    <w:semiHidden/>
    <w:qFormat/>
    <w:rsid w:val="006C3DF7"/>
    <w:pPr>
      <w:tabs>
        <w:tab w:val="center" w:pos="4680"/>
        <w:tab w:val="right" w:pos="9360"/>
      </w:tabs>
      <w:spacing w:after="0" w:line="240" w:lineRule="auto"/>
    </w:pPr>
  </w:style>
  <w:style w:type="character" w:customStyle="1" w:styleId="HeaderChar">
    <w:name w:val="Header Char"/>
    <w:basedOn w:val="DefaultParagraphFont"/>
    <w:link w:val="Header"/>
    <w:semiHidden/>
    <w:rsid w:val="006C3DF7"/>
    <w:rPr>
      <w:kern w:val="2"/>
      <w:sz w:val="21"/>
    </w:rPr>
  </w:style>
  <w:style w:type="character" w:customStyle="1" w:styleId="FooterChar">
    <w:name w:val="Footer Char"/>
    <w:basedOn w:val="DefaultParagraphFont"/>
    <w:link w:val="Footer"/>
    <w:uiPriority w:val="99"/>
    <w:rsid w:val="006C3DF7"/>
    <w:rPr>
      <w:kern w:val="2"/>
      <w:sz w:val="18"/>
      <w:szCs w:val="18"/>
    </w:rPr>
  </w:style>
  <w:style w:type="paragraph" w:styleId="BalloonText">
    <w:name w:val="Balloon Text"/>
    <w:basedOn w:val="Normal"/>
    <w:link w:val="BalloonTextChar"/>
    <w:uiPriority w:val="99"/>
    <w:semiHidden/>
    <w:unhideWhenUsed/>
    <w:rsid w:val="006C3D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3DF7"/>
    <w:rPr>
      <w:rFonts w:ascii="Tahoma" w:hAnsi="Tahoma" w:cs="Tahoma"/>
      <w:kern w:val="2"/>
      <w:sz w:val="16"/>
      <w:szCs w:val="16"/>
    </w:rPr>
  </w:style>
  <w:style w:type="character" w:styleId="CommentReference">
    <w:name w:val="annotation reference"/>
    <w:basedOn w:val="DefaultParagraphFont"/>
    <w:uiPriority w:val="99"/>
    <w:semiHidden/>
    <w:unhideWhenUsed/>
    <w:rsid w:val="005F5803"/>
    <w:rPr>
      <w:sz w:val="16"/>
      <w:szCs w:val="16"/>
    </w:rPr>
  </w:style>
  <w:style w:type="paragraph" w:styleId="CommentSubject">
    <w:name w:val="annotation subject"/>
    <w:basedOn w:val="CommentText"/>
    <w:next w:val="CommentText"/>
    <w:uiPriority w:val="99"/>
    <w:semiHidden/>
    <w:unhideWhenUsed/>
    <w:rsid w:val="005F5803"/>
    <w:pPr>
      <w:spacing w:line="240" w:lineRule="auto"/>
      <w:jc w:val="both"/>
    </w:pPr>
    <w:rPr>
      <w:b/>
      <w:bCs/>
      <w:sz w:val="20"/>
    </w:rPr>
  </w:style>
  <w:style w:type="character" w:customStyle="1" w:styleId="CommentTextChar">
    <w:name w:val="Comment Text Char"/>
    <w:basedOn w:val="DefaultParagraphFont"/>
    <w:link w:val="CommentText"/>
    <w:uiPriority w:val="99"/>
    <w:semiHidden/>
    <w:rsid w:val="005F5803"/>
    <w:rPr>
      <w:kern w:val="2"/>
      <w:sz w:val="21"/>
    </w:rPr>
  </w:style>
  <w:style w:type="character" w:customStyle="1" w:styleId="CommentSubjectChar">
    <w:name w:val="Comment Subject Char"/>
    <w:basedOn w:val="CommentTextChar"/>
    <w:link w:val="CommentSubject"/>
    <w:rsid w:val="005F5803"/>
  </w:style>
  <w:style w:type="character" w:styleId="Hyperlink">
    <w:name w:val="Hyperlink"/>
    <w:basedOn w:val="DefaultParagraphFont"/>
    <w:uiPriority w:val="99"/>
    <w:unhideWhenUsed/>
    <w:rsid w:val="005D28C0"/>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11</Pages>
  <Words>3046</Words>
  <Characters>16197</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24</cp:revision>
  <dcterms:created xsi:type="dcterms:W3CDTF">2019-04-08T03:09:00Z</dcterms:created>
  <dcterms:modified xsi:type="dcterms:W3CDTF">2019-08-17T01:58:00Z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